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p>
    <w:p>
      <w:pPr>
        <w:spacing w:after="60"/>
        <w:jc w:val="center"/>
      </w:pPr>
      <w:r>
        <w:rPr>
          <w:rFonts w:ascii="Calibri" w:cs="Calibri" w:eastAsia="Calibri" w:hAnsi="Calibri"/>
          <w:b/>
          <w:bCs/>
          <w:color w:val="1a1a2e"/>
          <w:sz w:val="48"/>
          <w:szCs w:val="48"/>
        </w:rPr>
        <w:t xml:space="preserve">Semantic Notarization</w:t>
      </w:r>
    </w:p>
    <w:p>
      <w:pPr>
        <w:spacing w:after="40"/>
        <w:jc w:val="center"/>
      </w:pPr>
      <w:r>
        <w:rPr>
          <w:rFonts w:ascii="Calibri" w:cs="Calibri" w:eastAsia="Calibri" w:hAnsi="Calibri"/>
          <w:color w:val="B34700"/>
          <w:sz w:val="30"/>
          <w:szCs w:val="30"/>
        </w:rPr>
        <w:t xml:space="preserve">A Dual-Layer Architecture for Certifying</w:t>
      </w:r>
    </w:p>
    <w:p>
      <w:pPr>
        <w:spacing w:after="300"/>
        <w:jc w:val="center"/>
      </w:pPr>
      <w:r>
        <w:rPr>
          <w:rFonts w:ascii="Calibri" w:cs="Calibri" w:eastAsia="Calibri" w:hAnsi="Calibri"/>
          <w:color w:val="B34700"/>
          <w:sz w:val="30"/>
          <w:szCs w:val="30"/>
        </w:rPr>
        <w:t xml:space="preserve">Meaning and Intention in Digital Content</w:t>
      </w:r>
    </w:p>
    <w:p>
      <w:pPr>
        <w:pBdr>
          <w:bottom w:val="single" w:color="CCCCCC" w:sz="1" w:space="8"/>
        </w:pBdr>
        <w:spacing w:after="200" w:before="200"/>
      </w:pPr>
    </w:p>
    <w:p>
      <w:pPr>
        <w:spacing w:after="60"/>
        <w:jc w:val="center"/>
      </w:pPr>
      <w:r>
        <w:rPr>
          <w:rFonts w:ascii="Calibri" w:cs="Calibri" w:eastAsia="Calibri" w:hAnsi="Calibri"/>
          <w:b/>
          <w:bCs/>
          <w:color w:val="1a1a2e"/>
          <w:sz w:val="24"/>
          <w:szCs w:val="24"/>
        </w:rPr>
        <w:t xml:space="preserve">Mihai Rosca</w:t>
      </w:r>
    </w:p>
    <w:p>
      <w:pPr>
        <w:spacing w:after="40"/>
        <w:jc w:val="center"/>
      </w:pPr>
      <w:r>
        <w:rPr>
          <w:rFonts w:ascii="Cambria" w:cs="Cambria" w:eastAsia="Cambria" w:hAnsi="Cambria"/>
          <w:color w:val="555555"/>
          <w:sz w:val="20"/>
          <w:szCs w:val="20"/>
        </w:rPr>
        <w:t xml:space="preserve">BRIDGRAI / REAI  —  Independent Researcher</w:t>
      </w:r>
    </w:p>
    <w:p>
      <w:pPr>
        <w:spacing w:after="40"/>
        <w:jc w:val="center"/>
      </w:pPr>
      <w:r>
        <w:rPr>
          <w:rFonts w:ascii="Cambria" w:cs="Cambria" w:eastAsia="Cambria" w:hAnsi="Cambria"/>
          <w:color w:val="555555"/>
          <w:sz w:val="20"/>
          <w:szCs w:val="20"/>
        </w:rPr>
        <w:t xml:space="preserve">Timisoara, Romania</w:t>
      </w:r>
    </w:p>
    <w:p>
      <w:pPr>
        <w:spacing w:after="40"/>
        <w:jc w:val="center"/>
      </w:pPr>
      <w:r>
        <w:rPr>
          <w:rFonts w:ascii="Cambria" w:cs="Cambria" w:eastAsia="Cambria" w:hAnsi="Cambria"/>
          <w:color w:val="B34700"/>
          <w:sz w:val="20"/>
          <w:szCs w:val="20"/>
        </w:rPr>
        <w:t xml:space="preserve">mihairosca1982@gmail.com</w:t>
      </w:r>
    </w:p>
    <w:p>
      <w:pPr>
        <w:spacing w:after="300"/>
        <w:jc w:val="center"/>
      </w:pPr>
      <w:r>
        <w:rPr>
          <w:rFonts w:ascii="Cambria" w:cs="Cambria" w:eastAsia="Cambria" w:hAnsi="Cambria"/>
          <w:color w:val="555555"/>
          <w:sz w:val="20"/>
          <w:szCs w:val="20"/>
        </w:rPr>
        <w:t xml:space="preserve">August 2026</w:t>
      </w:r>
    </w:p>
    <w:p>
      <w:pPr>
        <w:pBdr>
          <w:bottom w:val="single" w:color="CCCCCC" w:sz="1" w:space="8"/>
        </w:pBdr>
        <w:spacing w:after="200" w:before="200"/>
      </w:pPr>
    </w:p>
    <w:p>
      <w:pPr>
        <w:pStyle w:val="Heading1"/>
        <w:spacing w:after="160" w:before="400"/>
      </w:pPr>
      <w:r>
        <w:rPr>
          <w:rFonts w:ascii="Calibri" w:cs="Calibri" w:eastAsia="Calibri" w:hAnsi="Calibri"/>
          <w:b/>
          <w:bCs/>
          <w:color w:val="1a1a2e"/>
          <w:sz w:val="32"/>
          <w:szCs w:val="32"/>
        </w:rPr>
        <w:t xml:space="preserve">Abstract</w:t>
      </w:r>
    </w:p>
    <w:p>
      <w:pPr>
        <w:spacing w:after="180" w:before="0" w:line="300"/>
        <w:jc w:val="both"/>
      </w:pPr>
      <w:r>
        <w:rPr>
          <w:rFonts w:ascii="Cambria" w:cs="Cambria" w:eastAsia="Cambria" w:hAnsi="Cambria"/>
          <w:i w:val="false"/>
          <w:iCs w:val="false"/>
          <w:sz w:val="22"/>
          <w:szCs w:val="22"/>
        </w:rPr>
        <w:t xml:space="preserve">Traditional notarization systems certify that a document exists at a given point in time. Blockchain-based timestamping extends this to provide immutable, decentralized proof of existence. However, neither approach captures </w:t>
      </w:r>
      <w:r>
        <w:rPr>
          <w:rFonts w:ascii="Cambria" w:cs="Cambria" w:eastAsia="Cambria" w:hAnsi="Cambria"/>
          <w:b/>
          <w:bCs/>
          <w:sz w:val="22"/>
          <w:szCs w:val="22"/>
        </w:rPr>
        <w:t xml:space="preserve">what a document means</w:t>
      </w:r>
      <w:r>
        <w:rPr>
          <w:rFonts w:ascii="Cambria" w:cs="Cambria" w:eastAsia="Cambria" w:hAnsi="Cambria"/>
          <w:i w:val="false"/>
          <w:iCs w:val="false"/>
          <w:sz w:val="22"/>
          <w:szCs w:val="22"/>
        </w:rPr>
        <w:t xml:space="preserve"> or </w:t>
      </w:r>
      <w:r>
        <w:rPr>
          <w:rFonts w:ascii="Cambria" w:cs="Cambria" w:eastAsia="Cambria" w:hAnsi="Cambria"/>
          <w:b/>
          <w:bCs/>
          <w:sz w:val="22"/>
          <w:szCs w:val="22"/>
        </w:rPr>
        <w:t xml:space="preserve">why it was created</w:t>
      </w:r>
      <w:r>
        <w:rPr>
          <w:rFonts w:ascii="Cambria" w:cs="Cambria" w:eastAsia="Cambria" w:hAnsi="Cambria"/>
          <w:i w:val="false"/>
          <w:iCs w:val="false"/>
          <w:sz w:val="22"/>
          <w:szCs w:val="22"/>
        </w:rPr>
        <w:t xml:space="preserve">. This paper introduces </w:t>
      </w:r>
      <w:r>
        <w:rPr>
          <w:rFonts w:ascii="Cambria" w:cs="Cambria" w:eastAsia="Cambria" w:hAnsi="Cambria"/>
          <w:b/>
          <w:bCs/>
          <w:sz w:val="22"/>
          <w:szCs w:val="22"/>
        </w:rPr>
        <w:t xml:space="preserve">Semantic Notarization</w:t>
      </w:r>
      <w:r>
        <w:rPr>
          <w:rFonts w:ascii="Cambria" w:cs="Cambria" w:eastAsia="Cambria" w:hAnsi="Cambria"/>
          <w:i w:val="false"/>
          <w:iCs w:val="false"/>
          <w:sz w:val="22"/>
          <w:szCs w:val="22"/>
        </w:rPr>
        <w:t xml:space="preserve">, a dual-layer architecture that combines internal model-level semantic grounding with external cryptographic certification to create verifiable, immutable records of meaning (sens) and intention (intentie) alongside content existence.</w:t>
      </w:r>
    </w:p>
    <w:p>
      <w:pPr>
        <w:spacing w:after="180" w:before="0" w:line="300"/>
        <w:jc w:val="both"/>
      </w:pPr>
      <w:r>
        <w:rPr>
          <w:rFonts w:ascii="Cambria" w:cs="Cambria" w:eastAsia="Cambria" w:hAnsi="Cambria"/>
          <w:i w:val="false"/>
          <w:iCs w:val="false"/>
          <w:sz w:val="22"/>
          <w:szCs w:val="22"/>
        </w:rPr>
        <w:t xml:space="preserve">The architecture operates on two complementary layers: (1) an internal semantic layer leveraging transformer-based attention mechanisms, embedding space projections, and information-theoretic measures (cosine similarity, KL divergence) for semantic invariance verification; and (2) an external cryptographic layer using ECDSA P-256 digital signatures, SHA-256 hashing, Firebase Firestore document storage, and Tezos blockchain anchoring for tamper-proof certification.</w:t>
      </w:r>
    </w:p>
    <w:p>
      <w:pPr>
        <w:spacing w:after="180" w:before="0" w:line="300"/>
        <w:jc w:val="both"/>
      </w:pPr>
      <w:r>
        <w:rPr>
          <w:rFonts w:ascii="Cambria" w:cs="Cambria" w:eastAsia="Cambria" w:hAnsi="Cambria"/>
          <w:i w:val="false"/>
          <w:iCs w:val="false"/>
          <w:sz w:val="22"/>
          <w:szCs w:val="22"/>
        </w:rPr>
        <w:t xml:space="preserve">We present the implementation through two TypeScript modules (NotarManager and NotarManagerExtins), deployed as part of the ami* SaaS ecosystem under the BRIDGRAI research initiative. The system enables the certification of three dimensions simultaneously: existence (continut), meaning (sens), and intention (intentie), establishing a novel framework for digital content authentication that addresses the growing need for semantic transparency in AI-generated content under the EU AI Act.</w:t>
      </w:r>
    </w:p>
    <w:p>
      <w:pPr>
        <w:spacing w:after="180" w:before="0" w:line="300"/>
        <w:jc w:val="both"/>
      </w:pPr>
      <w:r>
        <w:rPr>
          <w:rFonts w:ascii="Cambria" w:cs="Cambria" w:eastAsia="Cambria" w:hAnsi="Cambria"/>
          <w:i/>
          <w:iCs/>
          <w:color w:val="555555"/>
          <w:sz w:val="22"/>
          <w:szCs w:val="22"/>
        </w:rPr>
        <w:t xml:space="preserve">Keywords: semantic notarization, meaning certification, intention verification, ECDSA P-256, blockchain anchoring, semantic invariance, Tezos, transformer attention, anti-confabulation, EU AI Act</w:t>
      </w:r>
    </w:p>
    <w:p>
      <w:pPr>
        <w:pStyle w:val="Heading1"/>
        <w:spacing w:after="160" w:before="400"/>
      </w:pPr>
      <w:r>
        <w:rPr>
          <w:rFonts w:ascii="Calibri" w:cs="Calibri" w:eastAsia="Calibri" w:hAnsi="Calibri"/>
          <w:b/>
          <w:bCs/>
          <w:color w:val="1a1a2e"/>
          <w:sz w:val="32"/>
          <w:szCs w:val="32"/>
        </w:rPr>
        <w:t xml:space="preserve">1. Introduction</w:t>
      </w:r>
    </w:p>
    <w:p>
      <w:pPr>
        <w:spacing w:after="180" w:before="0" w:line="300"/>
        <w:jc w:val="both"/>
      </w:pPr>
      <w:r>
        <w:rPr>
          <w:rFonts w:ascii="Cambria" w:cs="Cambria" w:eastAsia="Cambria" w:hAnsi="Cambria"/>
          <w:i w:val="false"/>
          <w:iCs w:val="false"/>
          <w:sz w:val="22"/>
          <w:szCs w:val="22"/>
        </w:rPr>
        <w:t xml:space="preserve">The proliferation of AI-generated content has created an unprecedented challenge: how do we verify not just </w:t>
      </w:r>
      <w:r>
        <w:rPr>
          <w:rFonts w:ascii="Cambria" w:cs="Cambria" w:eastAsia="Cambria" w:hAnsi="Cambria"/>
          <w:b/>
          <w:bCs/>
          <w:sz w:val="22"/>
          <w:szCs w:val="22"/>
        </w:rPr>
        <w:t xml:space="preserve">that</w:t>
      </w:r>
      <w:r>
        <w:rPr>
          <w:rFonts w:ascii="Cambria" w:cs="Cambria" w:eastAsia="Cambria" w:hAnsi="Cambria"/>
          <w:i w:val="false"/>
          <w:iCs w:val="false"/>
          <w:sz w:val="22"/>
          <w:szCs w:val="22"/>
        </w:rPr>
        <w:t xml:space="preserve"> something was written, but </w:t>
      </w:r>
      <w:r>
        <w:rPr>
          <w:rFonts w:ascii="Cambria" w:cs="Cambria" w:eastAsia="Cambria" w:hAnsi="Cambria"/>
          <w:b/>
          <w:bCs/>
          <w:sz w:val="22"/>
          <w:szCs w:val="22"/>
        </w:rPr>
        <w:t xml:space="preserve">what it means</w:t>
      </w:r>
      <w:r>
        <w:rPr>
          <w:rFonts w:ascii="Cambria" w:cs="Cambria" w:eastAsia="Cambria" w:hAnsi="Cambria"/>
          <w:i w:val="false"/>
          <w:iCs w:val="false"/>
          <w:sz w:val="22"/>
          <w:szCs w:val="22"/>
        </w:rPr>
        <w:t xml:space="preserve"> and </w:t>
      </w:r>
      <w:r>
        <w:rPr>
          <w:rFonts w:ascii="Cambria" w:cs="Cambria" w:eastAsia="Cambria" w:hAnsi="Cambria"/>
          <w:b/>
          <w:bCs/>
          <w:sz w:val="22"/>
          <w:szCs w:val="22"/>
        </w:rPr>
        <w:t xml:space="preserve">why it was created</w:t>
      </w:r>
      <w:r>
        <w:rPr>
          <w:rFonts w:ascii="Cambria" w:cs="Cambria" w:eastAsia="Cambria" w:hAnsi="Cambria"/>
          <w:i w:val="false"/>
          <w:iCs w:val="false"/>
          <w:sz w:val="22"/>
          <w:szCs w:val="22"/>
        </w:rPr>
        <w:t xml:space="preserve">? Traditional document authentication answers only the first question. A notarized document proves existence and authorship at a timestamp. A blockchain hash proves immutability. Neither captures semantics.</w:t>
      </w:r>
    </w:p>
    <w:p>
      <w:pPr>
        <w:spacing w:after="180" w:before="0" w:line="300"/>
        <w:jc w:val="both"/>
      </w:pPr>
      <w:r>
        <w:rPr>
          <w:rFonts w:ascii="Cambria" w:cs="Cambria" w:eastAsia="Cambria" w:hAnsi="Cambria"/>
          <w:i w:val="false"/>
          <w:iCs w:val="false"/>
          <w:sz w:val="22"/>
          <w:szCs w:val="22"/>
        </w:rPr>
        <w:t xml:space="preserve">Consider the following scenario: an AI system generates a legal contract. Traditional notarization can certify that this contract existed on a given date. But it cannot certify the human intention behind the prompt that generated it, the meaning the parties attribute to its clauses, or whether the AI's output faithfully represents the human's semantic intent. As AI systems become more autonomous, this gap between existence certification and meaning certification becomes a critical vulnerability.</w:t>
      </w:r>
    </w:p>
    <w:p>
      <w:pPr>
        <w:spacing w:after="180" w:before="0" w:line="300"/>
        <w:jc w:val="both"/>
      </w:pPr>
      <w:r>
        <w:rPr>
          <w:rFonts w:ascii="Cambria" w:cs="Cambria" w:eastAsia="Cambria" w:hAnsi="Cambria"/>
          <w:i w:val="false"/>
          <w:iCs w:val="false"/>
          <w:sz w:val="22"/>
          <w:szCs w:val="22"/>
        </w:rPr>
        <w:t xml:space="preserve">This paper presents </w:t>
      </w:r>
      <w:r>
        <w:rPr>
          <w:rFonts w:ascii="Cambria" w:cs="Cambria" w:eastAsia="Cambria" w:hAnsi="Cambria"/>
          <w:b/>
          <w:bCs/>
          <w:sz w:val="22"/>
          <w:szCs w:val="22"/>
        </w:rPr>
        <w:t xml:space="preserve">Semantic Notarization</w:t>
      </w:r>
      <w:r>
        <w:rPr>
          <w:rFonts w:ascii="Cambria" w:cs="Cambria" w:eastAsia="Cambria" w:hAnsi="Cambria"/>
          <w:i w:val="false"/>
          <w:iCs w:val="false"/>
          <w:sz w:val="22"/>
          <w:szCs w:val="22"/>
        </w:rPr>
        <w:t xml:space="preserve">, a framework that addresses this gap through a dual-layer architecture: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Layer 1 (Internal/Semantic):</w:t>
      </w:r>
      <w:r>
        <w:rPr>
          <w:rFonts w:ascii="Cambria" w:cs="Cambria" w:eastAsia="Cambria" w:hAnsi="Cambria"/>
          <w:sz w:val="22"/>
          <w:szCs w:val="22"/>
        </w:rPr>
        <w:t xml:space="preserve"> Model-level semantic grounding using transformer attention mechanisms, embedding space projections, and information-theoretic verification measures.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Layer 2 (External/Cryptographic):</w:t>
      </w:r>
      <w:r>
        <w:rPr>
          <w:rFonts w:ascii="Cambria" w:cs="Cambria" w:eastAsia="Cambria" w:hAnsi="Cambria"/>
          <w:sz w:val="22"/>
          <w:szCs w:val="22"/>
        </w:rPr>
        <w:t xml:space="preserve"> Application-level cryptographic certification using ECDSA P-256 signatures, SHA-256 hashing, and Tezos blockchain anchoring.</w:t>
      </w:r>
    </w:p>
    <w:p>
      <w:pPr>
        <w:spacing w:after="180" w:before="0" w:line="300"/>
        <w:jc w:val="both"/>
      </w:pPr>
      <w:r>
        <w:rPr>
          <w:rFonts w:ascii="Cambria" w:cs="Cambria" w:eastAsia="Cambria" w:hAnsi="Cambria"/>
          <w:i w:val="false"/>
          <w:iCs w:val="false"/>
          <w:sz w:val="22"/>
          <w:szCs w:val="22"/>
        </w:rPr>
        <w:t xml:space="preserve">The key insight is that neither layer alone is sufficient. The internal layer can verify semantic coherence but cannot produce externally verifiable proof. The external layer can produce tamper-proof records but cannot verify semantic content. Together, they create a complete chain: </w:t>
      </w:r>
      <w:r>
        <w:rPr>
          <w:rFonts w:ascii="Cambria" w:cs="Cambria" w:eastAsia="Cambria" w:hAnsi="Cambria"/>
          <w:b/>
          <w:bCs/>
          <w:sz w:val="22"/>
          <w:szCs w:val="22"/>
        </w:rPr>
        <w:t xml:space="preserve">content → meaning → intention → signature → blockchain</w:t>
      </w:r>
      <w:r>
        <w:rPr>
          <w:rFonts w:ascii="Cambria" w:cs="Cambria" w:eastAsia="Cambria" w:hAnsi="Cambria"/>
          <w:i w:val="false"/>
          <w:iCs w:val="false"/>
          <w:sz w:val="22"/>
          <w:szCs w:val="22"/>
        </w:rPr>
        <w:t xml:space="preserve">.</w:t>
      </w:r>
    </w:p>
    <w:p>
      <w:pPr>
        <w:pStyle w:val="Heading1"/>
        <w:spacing w:after="160" w:before="400"/>
      </w:pPr>
      <w:r>
        <w:rPr>
          <w:rFonts w:ascii="Calibri" w:cs="Calibri" w:eastAsia="Calibri" w:hAnsi="Calibri"/>
          <w:b/>
          <w:bCs/>
          <w:color w:val="1a1a2e"/>
          <w:sz w:val="32"/>
          <w:szCs w:val="32"/>
        </w:rPr>
        <w:t xml:space="preserve">2. Background and Related Work</w:t>
      </w:r>
    </w:p>
    <w:p>
      <w:pPr>
        <w:pStyle w:val="Heading2"/>
        <w:spacing w:after="160" w:before="300"/>
      </w:pPr>
      <w:r>
        <w:rPr>
          <w:rFonts w:ascii="Calibri" w:cs="Calibri" w:eastAsia="Calibri" w:hAnsi="Calibri"/>
          <w:b/>
          <w:bCs/>
          <w:color w:val="1a1a2e"/>
          <w:sz w:val="26"/>
          <w:szCs w:val="26"/>
        </w:rPr>
        <w:t xml:space="preserve">2.1 Document Notarization</w:t>
      </w:r>
    </w:p>
    <w:p>
      <w:pPr>
        <w:spacing w:after="180" w:before="0" w:line="300"/>
        <w:jc w:val="both"/>
      </w:pPr>
      <w:r>
        <w:rPr>
          <w:rFonts w:ascii="Cambria" w:cs="Cambria" w:eastAsia="Cambria" w:hAnsi="Cambria"/>
          <w:i w:val="false"/>
          <w:iCs w:val="false"/>
          <w:sz w:val="22"/>
          <w:szCs w:val="22"/>
        </w:rPr>
        <w:t xml:space="preserve">Classical notarization relies on a trusted third party (the notary) to witness document signing and verify identity. Digital notarization extends this through Public Key Infrastructure (PKI), where Certificate Authorities serve as trusted intermediaries. Both approaches certify </w:t>
      </w:r>
      <w:r>
        <w:rPr>
          <w:rFonts w:ascii="Cambria" w:cs="Cambria" w:eastAsia="Cambria" w:hAnsi="Cambria"/>
          <w:b/>
          <w:bCs/>
          <w:sz w:val="22"/>
          <w:szCs w:val="22"/>
        </w:rPr>
        <w:t xml:space="preserve">existence</w:t>
      </w:r>
      <w:r>
        <w:rPr>
          <w:rFonts w:ascii="Cambria" w:cs="Cambria" w:eastAsia="Cambria" w:hAnsi="Cambria"/>
          <w:i w:val="false"/>
          <w:iCs w:val="false"/>
          <w:sz w:val="22"/>
          <w:szCs w:val="22"/>
        </w:rPr>
        <w:t xml:space="preserve"> and </w:t>
      </w:r>
      <w:r>
        <w:rPr>
          <w:rFonts w:ascii="Cambria" w:cs="Cambria" w:eastAsia="Cambria" w:hAnsi="Cambria"/>
          <w:b/>
          <w:bCs/>
          <w:sz w:val="22"/>
          <w:szCs w:val="22"/>
        </w:rPr>
        <w:t xml:space="preserve">authorship</w:t>
      </w:r>
      <w:r>
        <w:rPr>
          <w:rFonts w:ascii="Cambria" w:cs="Cambria" w:eastAsia="Cambria" w:hAnsi="Cambria"/>
          <w:i w:val="false"/>
          <w:iCs w:val="false"/>
          <w:sz w:val="22"/>
          <w:szCs w:val="22"/>
        </w:rPr>
        <w:t xml:space="preserve"> but are silent on </w:t>
      </w:r>
      <w:r>
        <w:rPr>
          <w:rFonts w:ascii="Cambria" w:cs="Cambria" w:eastAsia="Cambria" w:hAnsi="Cambria"/>
          <w:b/>
          <w:bCs/>
          <w:sz w:val="22"/>
          <w:szCs w:val="22"/>
        </w:rPr>
        <w:t xml:space="preserve">meaning</w:t>
      </w:r>
      <w:r>
        <w:rPr>
          <w:rFonts w:ascii="Cambria" w:cs="Cambria" w:eastAsia="Cambria" w:hAnsi="Cambria"/>
          <w:i w:val="false"/>
          <w:iCs w:val="false"/>
          <w:sz w:val="22"/>
          <w:szCs w:val="22"/>
        </w:rPr>
        <w:t xml:space="preserve"> and </w:t>
      </w:r>
      <w:r>
        <w:rPr>
          <w:rFonts w:ascii="Cambria" w:cs="Cambria" w:eastAsia="Cambria" w:hAnsi="Cambria"/>
          <w:b/>
          <w:bCs/>
          <w:sz w:val="22"/>
          <w:szCs w:val="22"/>
        </w:rPr>
        <w:t xml:space="preserve">intention</w:t>
      </w:r>
      <w:r>
        <w:rPr>
          <w:rFonts w:ascii="Cambria" w:cs="Cambria" w:eastAsia="Cambria" w:hAnsi="Cambria"/>
          <w:i w:val="false"/>
          <w:iCs w:val="false"/>
          <w:sz w:val="22"/>
          <w:szCs w:val="22"/>
        </w:rPr>
        <w:t xml:space="preserve">.</w:t>
      </w:r>
    </w:p>
    <w:p>
      <w:pPr>
        <w:pStyle w:val="Heading2"/>
        <w:spacing w:after="160" w:before="300"/>
      </w:pPr>
      <w:r>
        <w:rPr>
          <w:rFonts w:ascii="Calibri" w:cs="Calibri" w:eastAsia="Calibri" w:hAnsi="Calibri"/>
          <w:b/>
          <w:bCs/>
          <w:color w:val="1a1a2e"/>
          <w:sz w:val="26"/>
          <w:szCs w:val="26"/>
        </w:rPr>
        <w:t xml:space="preserve">2.2 Blockchain Timestamping</w:t>
      </w:r>
    </w:p>
    <w:p>
      <w:pPr>
        <w:spacing w:after="180" w:before="0" w:line="300"/>
        <w:jc w:val="both"/>
      </w:pPr>
      <w:r>
        <w:rPr>
          <w:rFonts w:ascii="Cambria" w:cs="Cambria" w:eastAsia="Cambria" w:hAnsi="Cambria"/>
          <w:i w:val="false"/>
          <w:iCs w:val="false"/>
          <w:sz w:val="22"/>
          <w:szCs w:val="22"/>
        </w:rPr>
        <w:t xml:space="preserve">Blockchain-based document certification (e.g., OpenTimestamps, Proof of Existence) provides decentralized, immutable proof that a document hash existed at a specific block height. This eliminates the need for trusted intermediaries but still operates exclusively at the syntactic level: the hash changes if a single bit changes, regardless of whether the meaning changed.</w:t>
      </w:r>
    </w:p>
    <w:p>
      <w:pPr>
        <w:pStyle w:val="Heading2"/>
        <w:spacing w:after="160" w:before="300"/>
      </w:pPr>
      <w:r>
        <w:rPr>
          <w:rFonts w:ascii="Calibri" w:cs="Calibri" w:eastAsia="Calibri" w:hAnsi="Calibri"/>
          <w:b/>
          <w:bCs/>
          <w:color w:val="1a1a2e"/>
          <w:sz w:val="26"/>
          <w:szCs w:val="26"/>
        </w:rPr>
        <w:t xml:space="preserve">2.3 Semantic Similarity in NLP</w:t>
      </w:r>
    </w:p>
    <w:p>
      <w:pPr>
        <w:spacing w:after="180" w:before="0" w:line="300"/>
        <w:jc w:val="both"/>
      </w:pPr>
      <w:r>
        <w:rPr>
          <w:rFonts w:ascii="Cambria" w:cs="Cambria" w:eastAsia="Cambria" w:hAnsi="Cambria"/>
          <w:i w:val="false"/>
          <w:iCs w:val="false"/>
          <w:sz w:val="22"/>
          <w:szCs w:val="22"/>
        </w:rPr>
        <w:t xml:space="preserve">Transformer-based language models (Vaswani et al., 2017) represent text as dense vectors in high-dimensional embedding spaces. Semantic similarity between texts can be measured through cosine similarity of their embedding vectors. However, this capability has been used primarily for retrieval and classification, not for notarization or certification.</w:t>
      </w:r>
    </w:p>
    <w:p>
      <w:pPr>
        <w:pStyle w:val="Heading2"/>
        <w:spacing w:after="160" w:before="300"/>
      </w:pPr>
      <w:r>
        <w:rPr>
          <w:rFonts w:ascii="Calibri" w:cs="Calibri" w:eastAsia="Calibri" w:hAnsi="Calibri"/>
          <w:b/>
          <w:bCs/>
          <w:color w:val="1a1a2e"/>
          <w:sz w:val="26"/>
          <w:szCs w:val="26"/>
        </w:rPr>
        <w:t xml:space="preserve">2.4 The Gap</w:t>
      </w:r>
    </w:p>
    <w:p>
      <w:pPr>
        <w:spacing w:after="180" w:before="0" w:line="300"/>
        <w:jc w:val="both"/>
      </w:pPr>
      <w:r>
        <w:rPr>
          <w:rFonts w:ascii="Cambria" w:cs="Cambria" w:eastAsia="Cambria" w:hAnsi="Cambria"/>
          <w:i w:val="false"/>
          <w:iCs w:val="false"/>
          <w:sz w:val="22"/>
          <w:szCs w:val="22"/>
        </w:rPr>
        <w:t xml:space="preserve">No existing system combines semantic verification with cryptographic certification. The contribution of this paper is precisely this combination: using model-level semantic understanding to verify meaning fidelity, and cryptographic infrastructure to make that verification externally auditable and immutable.</w:t>
      </w:r>
    </w:p>
    <w:p>
      <w:pPr>
        <w:pStyle w:val="Heading1"/>
        <w:spacing w:after="160" w:before="400"/>
      </w:pPr>
      <w:r>
        <w:rPr>
          <w:rFonts w:ascii="Calibri" w:cs="Calibri" w:eastAsia="Calibri" w:hAnsi="Calibri"/>
          <w:b/>
          <w:bCs/>
          <w:color w:val="1a1a2e"/>
          <w:sz w:val="32"/>
          <w:szCs w:val="32"/>
        </w:rPr>
        <w:t xml:space="preserve">3. Mathematical Foundation</w:t>
      </w:r>
    </w:p>
    <w:p>
      <w:pPr>
        <w:pStyle w:val="Heading2"/>
        <w:spacing w:after="160" w:before="300"/>
      </w:pPr>
      <w:r>
        <w:rPr>
          <w:rFonts w:ascii="Calibri" w:cs="Calibri" w:eastAsia="Calibri" w:hAnsi="Calibri"/>
          <w:b/>
          <w:bCs/>
          <w:color w:val="1a1a2e"/>
          <w:sz w:val="26"/>
          <w:szCs w:val="26"/>
        </w:rPr>
        <w:t xml:space="preserve">3.1 Semantic Intent Computation</w:t>
      </w:r>
    </w:p>
    <w:p>
      <w:pPr>
        <w:spacing w:after="180" w:before="0" w:line="300"/>
        <w:jc w:val="both"/>
      </w:pPr>
      <w:r>
        <w:rPr>
          <w:rFonts w:ascii="Cambria" w:cs="Cambria" w:eastAsia="Cambria" w:hAnsi="Cambria"/>
          <w:i w:val="false"/>
          <w:iCs w:val="false"/>
          <w:sz w:val="22"/>
          <w:szCs w:val="22"/>
        </w:rPr>
        <w:t xml:space="preserve">The determination of semantic intent in transformer-based architectures operates through three stages:</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Stage 1: Embedding Space Projection.</w:t>
      </w:r>
      <w:r>
        <w:rPr>
          <w:rFonts w:ascii="Cambria" w:cs="Cambria" w:eastAsia="Cambria" w:hAnsi="Cambria"/>
          <w:i w:val="false"/>
          <w:iCs w:val="false"/>
          <w:sz w:val="22"/>
          <w:szCs w:val="22"/>
        </w:rPr>
        <w:t xml:space="preserve"> Each token in the input text is represented as a dense vector in a high-dimensional space (typically 4096 or 8192 dimensions). The direction and magnitude of these vectors capture semantic nuances, conceptual relationships, and tone.</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Stage 2: Multi-Head Self-Attention.</w:t>
      </w:r>
      <w:r>
        <w:rPr>
          <w:rFonts w:ascii="Cambria" w:cs="Cambria" w:eastAsia="Cambria" w:hAnsi="Cambria"/>
          <w:i w:val="false"/>
          <w:iCs w:val="false"/>
          <w:sz w:val="22"/>
          <w:szCs w:val="22"/>
        </w:rPr>
        <w:t xml:space="preserve"> The model computes contextual relationships between all tokens using Query (Q), Key (K), and Value (V) matrices:</w:t>
      </w:r>
    </w:p>
    <w:p>
      <w:pPr>
        <w:spacing w:after="200" w:before="120"/>
        <w:jc w:val="center"/>
      </w:pPr>
      <w:r>
        <w:rPr>
          <w:rFonts w:ascii="Cambria Math" w:cs="Cambria Math" w:eastAsia="Cambria Math" w:hAnsi="Cambria Math"/>
          <w:i/>
          <w:iCs/>
          <w:color w:val="1a1a2e"/>
          <w:sz w:val="22"/>
          <w:szCs w:val="22"/>
        </w:rPr>
        <w:t xml:space="preserve">Attention(Q, K, V) = softmax(QKᵀ / √d_k) · V</w:t>
      </w:r>
    </w:p>
    <w:p>
      <w:pPr>
        <w:spacing w:after="180" w:before="0" w:line="300"/>
        <w:jc w:val="both"/>
      </w:pPr>
      <w:r>
        <w:rPr>
          <w:rFonts w:ascii="Cambria" w:cs="Cambria" w:eastAsia="Cambria" w:hAnsi="Cambria"/>
          <w:i w:val="false"/>
          <w:iCs w:val="false"/>
          <w:sz w:val="22"/>
          <w:szCs w:val="22"/>
        </w:rPr>
        <w:t xml:space="preserve">Through this computation, the model identifies the core intent: whether a query represents a code request, a conceptual analysis, a translation, or a philosophical clarification.</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Stage 3: Cosine Similarity.</w:t>
      </w:r>
      <w:r>
        <w:rPr>
          <w:rFonts w:ascii="Cambria" w:cs="Cambria" w:eastAsia="Cambria" w:hAnsi="Cambria"/>
          <w:i w:val="false"/>
          <w:iCs w:val="false"/>
          <w:sz w:val="22"/>
          <w:szCs w:val="22"/>
        </w:rPr>
        <w:t xml:space="preserve"> The degree of alignment between the inferred intent and the space of possible responses is evaluated through cosine similarity in the latent space:</w:t>
      </w:r>
    </w:p>
    <w:p>
      <w:pPr>
        <w:spacing w:after="200" w:before="120"/>
        <w:jc w:val="center"/>
      </w:pPr>
      <w:r>
        <w:rPr>
          <w:rFonts w:ascii="Cambria Math" w:cs="Cambria Math" w:eastAsia="Cambria Math" w:hAnsi="Cambria Math"/>
          <w:i/>
          <w:iCs/>
          <w:color w:val="1a1a2e"/>
          <w:sz w:val="22"/>
          <w:szCs w:val="22"/>
        </w:rPr>
        <w:t xml:space="preserve">sim(A, B) = (A · B) / (||A|| · ||B||)</w:t>
      </w:r>
    </w:p>
    <w:p>
      <w:pPr>
        <w:spacing w:after="180" w:before="0" w:line="300"/>
        <w:jc w:val="both"/>
      </w:pPr>
      <w:r>
        <w:rPr>
          <w:rFonts w:ascii="Cambria" w:cs="Cambria" w:eastAsia="Cambria" w:hAnsi="Cambria"/>
          <w:i w:val="false"/>
          <w:iCs w:val="false"/>
          <w:sz w:val="22"/>
          <w:szCs w:val="22"/>
        </w:rPr>
        <w:t xml:space="preserve">Values approaching 1.0 indicate high fidelity between the generated response and the user's intent.</w:t>
      </w:r>
    </w:p>
    <w:p>
      <w:pPr>
        <w:pStyle w:val="Heading2"/>
        <w:spacing w:after="160" w:before="300"/>
      </w:pPr>
      <w:r>
        <w:rPr>
          <w:rFonts w:ascii="Calibri" w:cs="Calibri" w:eastAsia="Calibri" w:hAnsi="Calibri"/>
          <w:b/>
          <w:bCs/>
          <w:color w:val="1a1a2e"/>
          <w:sz w:val="26"/>
          <w:szCs w:val="26"/>
        </w:rPr>
        <w:t xml:space="preserve">3.2 The Semantic Notary: Three Mathematical Pillars</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Pillar A: Semantic Invariance.</w:t>
      </w:r>
      <w:r>
        <w:rPr>
          <w:rFonts w:ascii="Cambria" w:cs="Cambria" w:eastAsia="Cambria" w:hAnsi="Cambria"/>
          <w:i w:val="false"/>
          <w:iCs w:val="false"/>
          <w:sz w:val="22"/>
          <w:szCs w:val="22"/>
        </w:rPr>
        <w:t xml:space="preserve"> The semantic notary verifies that a formally modified or translated response preserves its invariant meaning. If a phrase S₁ is transformed into S₂, the notary verifies that the distance between their state vectors remains below a tolerable threshold ε:</w:t>
      </w:r>
    </w:p>
    <w:p>
      <w:pPr>
        <w:spacing w:after="200" w:before="120"/>
        <w:jc w:val="center"/>
      </w:pPr>
      <w:r>
        <w:rPr>
          <w:rFonts w:ascii="Cambria Math" w:cs="Cambria Math" w:eastAsia="Cambria Math" w:hAnsi="Cambria Math"/>
          <w:i/>
          <w:iCs/>
          <w:color w:val="1a1a2e"/>
          <w:sz w:val="22"/>
          <w:szCs w:val="22"/>
        </w:rPr>
        <w:t xml:space="preserve">||f(S₁) − f(S₂)|| &lt; ε</w:t>
      </w:r>
    </w:p>
    <w:p>
      <w:pPr>
        <w:spacing w:after="180" w:before="0" w:line="300"/>
        <w:jc w:val="both"/>
      </w:pPr>
      <w:r>
        <w:rPr>
          <w:rFonts w:ascii="Cambria" w:cs="Cambria" w:eastAsia="Cambria" w:hAnsi="Cambria"/>
          <w:i w:val="false"/>
          <w:iCs w:val="false"/>
          <w:sz w:val="22"/>
          <w:szCs w:val="22"/>
        </w:rPr>
        <w:t xml:space="preserve">where f(·) is the embedding function mapping text to its vector representation.</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Pillar B: Semantic Hashing.</w:t>
      </w:r>
      <w:r>
        <w:rPr>
          <w:rFonts w:ascii="Cambria" w:cs="Cambria" w:eastAsia="Cambria" w:hAnsi="Cambria"/>
          <w:i w:val="false"/>
          <w:iCs w:val="false"/>
          <w:sz w:val="22"/>
          <w:szCs w:val="22"/>
        </w:rPr>
        <w:t xml:space="preserve"> Unlike standard cryptographic hashing (where a single character change completely alters the output), a semantic hash generates representations where texts with the same meaning produce nearly identical fingerprints. The notary uses this fingerprint to guarantee that the primary idea has not been altered or distorted during the generation process.</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Pillar C: KL Divergence Anchoring.</w:t>
      </w:r>
      <w:r>
        <w:rPr>
          <w:rFonts w:ascii="Cambria" w:cs="Cambria" w:eastAsia="Cambria" w:hAnsi="Cambria"/>
          <w:i w:val="false"/>
          <w:iCs w:val="false"/>
          <w:sz w:val="22"/>
          <w:szCs w:val="22"/>
        </w:rPr>
        <w:t xml:space="preserve"> To prevent deviations from concrete facts (hallucinations), the notary measures the informational divergence between the generated response distribution P and the verified truth source Q:</w:t>
      </w:r>
    </w:p>
    <w:p>
      <w:pPr>
        <w:spacing w:after="200" w:before="120"/>
        <w:jc w:val="center"/>
      </w:pPr>
      <w:r>
        <w:rPr>
          <w:rFonts w:ascii="Cambria Math" w:cs="Cambria Math" w:eastAsia="Cambria Math" w:hAnsi="Cambria Math"/>
          <w:i/>
          <w:iCs/>
          <w:color w:val="1a1a2e"/>
          <w:sz w:val="22"/>
          <w:szCs w:val="22"/>
        </w:rPr>
        <w:t xml:space="preserve">D_KL(P || Q) = Σ P(x) · log(P(x) / Q(x))</w:t>
      </w:r>
    </w:p>
    <w:p>
      <w:pPr>
        <w:spacing w:after="180" w:before="0" w:line="300"/>
        <w:jc w:val="both"/>
      </w:pPr>
      <w:r>
        <w:rPr>
          <w:rFonts w:ascii="Cambria" w:cs="Cambria" w:eastAsia="Cambria" w:hAnsi="Cambria"/>
          <w:i w:val="false"/>
          <w:iCs w:val="false"/>
          <w:sz w:val="22"/>
          <w:szCs w:val="22"/>
        </w:rPr>
        <w:t xml:space="preserve">When divergence is minimal, the notary attests that the meaning is validated and anchored in factual reality or in the user's requirement.</w:t>
      </w:r>
    </w:p>
    <w:p>
      <w:pPr>
        <w:pStyle w:val="Heading1"/>
        <w:spacing w:after="160" w:before="400"/>
      </w:pPr>
      <w:r>
        <w:rPr>
          <w:rFonts w:ascii="Calibri" w:cs="Calibri" w:eastAsia="Calibri" w:hAnsi="Calibri"/>
          <w:b/>
          <w:bCs/>
          <w:color w:val="1a1a2e"/>
          <w:sz w:val="32"/>
          <w:szCs w:val="32"/>
        </w:rPr>
        <w:t xml:space="preserve">4. Architecture</w:t>
      </w:r>
    </w:p>
    <w:p>
      <w:pPr>
        <w:spacing w:after="180" w:before="0" w:line="300"/>
        <w:jc w:val="both"/>
      </w:pPr>
      <w:r>
        <w:rPr>
          <w:rFonts w:ascii="Cambria" w:cs="Cambria" w:eastAsia="Cambria" w:hAnsi="Cambria"/>
          <w:i w:val="false"/>
          <w:iCs w:val="false"/>
          <w:sz w:val="22"/>
          <w:szCs w:val="22"/>
        </w:rPr>
        <w:t xml:space="preserve">The Semantic Notarization system consists of two layers and four components, connected through a verification chain.</w:t>
      </w:r>
    </w:p>
    <w:p>
      <w:pPr>
        <w:pStyle w:val="Heading2"/>
        <w:spacing w:after="160" w:before="300"/>
      </w:pPr>
      <w:r>
        <w:rPr>
          <w:rFonts w:ascii="Calibri" w:cs="Calibri" w:eastAsia="Calibri" w:hAnsi="Calibri"/>
          <w:b/>
          <w:bCs/>
          <w:color w:val="1a1a2e"/>
          <w:sz w:val="26"/>
          <w:szCs w:val="26"/>
        </w:rPr>
        <w:t xml:space="preserve">4.1 Layer 1: Internal Semantic Layer</w:t>
      </w:r>
    </w:p>
    <w:p>
      <w:pPr>
        <w:spacing w:after="180" w:before="0" w:line="300"/>
        <w:jc w:val="both"/>
      </w:pPr>
      <w:r>
        <w:rPr>
          <w:rFonts w:ascii="Cambria" w:cs="Cambria" w:eastAsia="Cambria" w:hAnsi="Cambria"/>
          <w:i w:val="false"/>
          <w:iCs w:val="false"/>
          <w:sz w:val="22"/>
          <w:szCs w:val="22"/>
        </w:rPr>
        <w:t xml:space="preserve">The internal layer operates within the language model's inference pipeline: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Embedding Space Verification:</w:t>
      </w:r>
      <w:r>
        <w:rPr>
          <w:rFonts w:ascii="Cambria" w:cs="Cambria" w:eastAsia="Cambria" w:hAnsi="Cambria"/>
          <w:sz w:val="22"/>
          <w:szCs w:val="22"/>
        </w:rPr>
        <w:t xml:space="preserve"> Continuous monitoring of semantic vector distances between input intent and generated output.</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Attention-Based Intent Extraction:</w:t>
      </w:r>
      <w:r>
        <w:rPr>
          <w:rFonts w:ascii="Cambria" w:cs="Cambria" w:eastAsia="Cambria" w:hAnsi="Cambria"/>
          <w:sz w:val="22"/>
          <w:szCs w:val="22"/>
        </w:rPr>
        <w:t xml:space="preserve"> Multi-head attention matrices identify the primary semantic objective of each interaction.</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Anti-Confabulation Engine:</w:t>
      </w:r>
      <w:r>
        <w:rPr>
          <w:rFonts w:ascii="Cambria" w:cs="Cambria" w:eastAsia="Cambria" w:hAnsi="Cambria"/>
          <w:sz w:val="22"/>
          <w:szCs w:val="22"/>
        </w:rPr>
        <w:t xml:space="preserve"> KL divergence measurement against grounded truth sources prevents hallucinated content from receiving semantic certification.</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Concordance Scoring:</w:t>
      </w:r>
      <w:r>
        <w:rPr>
          <w:rFonts w:ascii="Cambria" w:cs="Cambria" w:eastAsia="Cambria" w:hAnsi="Cambria"/>
          <w:sz w:val="22"/>
          <w:szCs w:val="22"/>
        </w:rPr>
        <w:t xml:space="preserve"> Cross-validation between multiple inference paths to ensure response stability.</w:t>
      </w:r>
    </w:p>
    <w:p>
      <w:pPr>
        <w:pStyle w:val="Heading2"/>
        <w:spacing w:after="160" w:before="300"/>
      </w:pPr>
      <w:r>
        <w:rPr>
          <w:rFonts w:ascii="Calibri" w:cs="Calibri" w:eastAsia="Calibri" w:hAnsi="Calibri"/>
          <w:b/>
          <w:bCs/>
          <w:color w:val="1a1a2e"/>
          <w:sz w:val="26"/>
          <w:szCs w:val="26"/>
        </w:rPr>
        <w:t xml:space="preserve">4.2 Layer 2: External Cryptographic Layer</w:t>
      </w:r>
    </w:p>
    <w:p>
      <w:pPr>
        <w:spacing w:after="180" w:before="0" w:line="300"/>
        <w:jc w:val="both"/>
      </w:pPr>
      <w:r>
        <w:rPr>
          <w:rFonts w:ascii="Cambria" w:cs="Cambria" w:eastAsia="Cambria" w:hAnsi="Cambria"/>
          <w:i w:val="false"/>
          <w:iCs w:val="false"/>
          <w:sz w:val="22"/>
          <w:szCs w:val="22"/>
        </w:rPr>
        <w:t xml:space="preserve">The external layer operates at the application level and produces externally verifiable artifacts:</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Component 1: NotarManager</w:t>
      </w:r>
      <w:r>
        <w:rPr>
          <w:rFonts w:ascii="Cambria" w:cs="Cambria" w:eastAsia="Cambria" w:hAnsi="Cambria"/>
          <w:i w:val="false"/>
          <w:iCs w:val="false"/>
          <w:sz w:val="22"/>
          <w:szCs w:val="22"/>
        </w:rPr>
        <w:t xml:space="preserve"> — Core cryptographic engine: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Key Generation:</w:t>
      </w:r>
      <w:r>
        <w:rPr>
          <w:rFonts w:ascii="Cambria" w:cs="Cambria" w:eastAsia="Cambria" w:hAnsi="Cambria"/>
          <w:sz w:val="22"/>
          <w:szCs w:val="22"/>
        </w:rPr>
        <w:t xml:space="preserve"> ECDSA P-256 key pair via Web Crypto API (browser-native, private key never transmitted).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Document Signing:</w:t>
      </w:r>
      <w:r>
        <w:rPr>
          <w:rFonts w:ascii="Cambria" w:cs="Cambria" w:eastAsia="Cambria" w:hAnsi="Cambria"/>
          <w:sz w:val="22"/>
          <w:szCs w:val="22"/>
        </w:rPr>
        <w:t xml:space="preserve"> The triplet {continut, sens, intentie, timestamp} is JSON-serialized and signed with ECDSA SHA-256.</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Signature Verification:</w:t>
      </w:r>
      <w:r>
        <w:rPr>
          <w:rFonts w:ascii="Cambria" w:cs="Cambria" w:eastAsia="Cambria" w:hAnsi="Cambria"/>
          <w:sz w:val="22"/>
          <w:szCs w:val="22"/>
        </w:rPr>
        <w:t xml:space="preserve"> Public-key verification of document integrity and authenticity.</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Blockchain Preparation:</w:t>
      </w:r>
      <w:r>
        <w:rPr>
          <w:rFonts w:ascii="Cambria" w:cs="Cambria" w:eastAsia="Cambria" w:hAnsi="Cambria"/>
          <w:sz w:val="22"/>
          <w:szCs w:val="22"/>
        </w:rPr>
        <w:t xml:space="preserve"> SHA-256 hashes of both the document and signature are prepared for Tezos anchoring.</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Firestore Persistence:</w:t>
      </w:r>
      <w:r>
        <w:rPr>
          <w:rFonts w:ascii="Cambria" w:cs="Cambria" w:eastAsia="Cambria" w:hAnsi="Cambria"/>
          <w:sz w:val="22"/>
          <w:szCs w:val="22"/>
        </w:rPr>
        <w:t xml:space="preserve"> Signed documents stored in Cloud Firestore with status tracking and audit trail.</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Component 2: NotarManagerExtins</w:t>
      </w:r>
      <w:r>
        <w:rPr>
          <w:rFonts w:ascii="Cambria" w:cs="Cambria" w:eastAsia="Cambria" w:hAnsi="Cambria"/>
          <w:i w:val="false"/>
          <w:iCs w:val="false"/>
          <w:sz w:val="22"/>
          <w:szCs w:val="22"/>
        </w:rPr>
        <w:t xml:space="preserve"> — Intention registration engine: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Intention Registration:</w:t>
      </w:r>
      <w:r>
        <w:rPr>
          <w:rFonts w:ascii="Cambria" w:cs="Cambria" w:eastAsia="Cambria" w:hAnsi="Cambria"/>
          <w:sz w:val="22"/>
          <w:szCs w:val="22"/>
        </w:rPr>
        <w:t xml:space="preserve"> Declared intentions are hashed, signed, and stored as first-class records.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Intention Verification:</w:t>
      </w:r>
      <w:r>
        <w:rPr>
          <w:rFonts w:ascii="Cambria" w:cs="Cambria" w:eastAsia="Cambria" w:hAnsi="Cambria"/>
          <w:sz w:val="22"/>
          <w:szCs w:val="22"/>
        </w:rPr>
        <w:t xml:space="preserve"> Hash recalculation and integrity check on retrieval.</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Document-Intention Binding:</w:t>
      </w:r>
      <w:r>
        <w:rPr>
          <w:rFonts w:ascii="Cambria" w:cs="Cambria" w:eastAsia="Cambria" w:hAnsi="Cambria"/>
          <w:sz w:val="22"/>
          <w:szCs w:val="22"/>
        </w:rPr>
        <w:t xml:space="preserve"> Bidirectional linking between intention records and notarized documents.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Chain Verification:</w:t>
      </w:r>
      <w:r>
        <w:rPr>
          <w:rFonts w:ascii="Cambria" w:cs="Cambria" w:eastAsia="Cambria" w:hAnsi="Cambria"/>
          <w:sz w:val="22"/>
          <w:szCs w:val="22"/>
        </w:rPr>
        <w:t xml:space="preserve"> End-to-end validation: intention valid + document exists + binding confirmed = lant_complet.</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Intention Revocation:</w:t>
      </w:r>
      <w:r>
        <w:rPr>
          <w:rFonts w:ascii="Cambria" w:cs="Cambria" w:eastAsia="Cambria" w:hAnsi="Cambria"/>
          <w:sz w:val="22"/>
          <w:szCs w:val="22"/>
        </w:rPr>
        <w:t xml:space="preserve"> Revocation with reason tracking, without deletion (audit trail preserved).</w:t>
      </w:r>
    </w:p>
    <w:p>
      <w:pPr>
        <w:pStyle w:val="Heading2"/>
        <w:spacing w:after="160" w:before="300"/>
      </w:pPr>
      <w:r>
        <w:rPr>
          <w:rFonts w:ascii="Calibri" w:cs="Calibri" w:eastAsia="Calibri" w:hAnsi="Calibri"/>
          <w:b/>
          <w:bCs/>
          <w:color w:val="1a1a2e"/>
          <w:sz w:val="26"/>
          <w:szCs w:val="26"/>
        </w:rPr>
        <w:t xml:space="preserve">4.3 The Verification Chain</w:t>
      </w:r>
    </w:p>
    <w:p>
      <w:pPr>
        <w:spacing w:after="180" w:before="0" w:line="300"/>
        <w:jc w:val="both"/>
      </w:pPr>
      <w:r>
        <w:rPr>
          <w:rFonts w:ascii="Cambria" w:cs="Cambria" w:eastAsia="Cambria" w:hAnsi="Cambria"/>
          <w:i w:val="false"/>
          <w:iCs w:val="false"/>
          <w:sz w:val="22"/>
          <w:szCs w:val="22"/>
        </w:rPr>
        <w:t xml:space="preserve">The complete verification chain operates as follows:</w:t>
      </w:r>
    </w:p>
    <w:p>
      <w:pPr>
        <w:pBdr>
          <w:left w:val="single" w:color="B34700" w:sz="2" w:space="8"/>
        </w:pBdr>
        <w:spacing w:after="120" w:before="60"/>
        <w:ind w:left="576"/>
      </w:pPr>
      <w:r>
        <w:rPr>
          <w:rFonts w:ascii="Consolas" w:cs="Consolas" w:eastAsia="Consolas" w:hAnsi="Consolas"/>
          <w:color w:val="333333"/>
          <w:sz w:val="18"/>
          <w:szCs w:val="18"/>
        </w:rPr>
        <w:t xml:space="preserve">Human declares: content + meaning + intention</w:t>
      </w:r>
    </w:p>
    <w:p>
      <w:pPr>
        <w:pBdr>
          <w:left w:val="single" w:color="B34700" w:sz="2" w:space="8"/>
        </w:pBdr>
        <w:spacing w:after="120" w:before="60"/>
        <w:ind w:left="576"/>
      </w:pPr>
      <w:r>
        <w:rPr>
          <w:rFonts w:ascii="Consolas" w:cs="Consolas" w:eastAsia="Consolas" w:hAnsi="Consolas"/>
          <w:color w:val="333333"/>
          <w:sz w:val="18"/>
          <w:szCs w:val="18"/>
        </w:rPr>
        <w:t xml:space="preserve">  → NotarManagerExtins.inregistreazaIntentie()</w:t>
      </w:r>
    </w:p>
    <w:p>
      <w:pPr>
        <w:pBdr>
          <w:left w:val="single" w:color="B34700" w:sz="2" w:space="8"/>
        </w:pBdr>
        <w:spacing w:after="120" w:before="60"/>
        <w:ind w:left="576"/>
      </w:pPr>
      <w:r>
        <w:rPr>
          <w:rFonts w:ascii="Consolas" w:cs="Consolas" w:eastAsia="Consolas" w:hAnsi="Consolas"/>
          <w:color w:val="333333"/>
          <w:sz w:val="18"/>
          <w:szCs w:val="18"/>
        </w:rPr>
        <w:t xml:space="preserve">  → NotarManager.notarizeaza() [ECDSA P-256 signature]</w:t>
      </w:r>
    </w:p>
    <w:p>
      <w:pPr>
        <w:pBdr>
          <w:left w:val="single" w:color="B34700" w:sz="2" w:space="8"/>
        </w:pBdr>
        <w:spacing w:after="120" w:before="60"/>
        <w:ind w:left="576"/>
      </w:pPr>
      <w:r>
        <w:rPr>
          <w:rFonts w:ascii="Consolas" w:cs="Consolas" w:eastAsia="Consolas" w:hAnsi="Consolas"/>
          <w:color w:val="333333"/>
          <w:sz w:val="18"/>
          <w:szCs w:val="18"/>
        </w:rPr>
        <w:t xml:space="preserve">  → NotarManager.salveazaInFirestore() [persistence]</w:t>
      </w:r>
    </w:p>
    <w:p>
      <w:pPr>
        <w:pBdr>
          <w:left w:val="single" w:color="B34700" w:sz="2" w:space="8"/>
        </w:pBdr>
        <w:spacing w:after="120" w:before="60"/>
        <w:ind w:left="576"/>
      </w:pPr>
      <w:r>
        <w:rPr>
          <w:rFonts w:ascii="Consolas" w:cs="Consolas" w:eastAsia="Consolas" w:hAnsi="Consolas"/>
          <w:color w:val="333333"/>
          <w:sz w:val="18"/>
          <w:szCs w:val="18"/>
        </w:rPr>
        <w:t xml:space="preserve">  → NotarManager.pregatestePentruTezos() [hash preparation]</w:t>
      </w:r>
    </w:p>
    <w:p>
      <w:pPr>
        <w:pBdr>
          <w:left w:val="single" w:color="B34700" w:sz="2" w:space="8"/>
        </w:pBdr>
        <w:spacing w:after="120" w:before="60"/>
        <w:ind w:left="576"/>
      </w:pPr>
      <w:r>
        <w:rPr>
          <w:rFonts w:ascii="Consolas" w:cs="Consolas" w:eastAsia="Consolas" w:hAnsi="Consolas"/>
          <w:color w:val="333333"/>
          <w:sz w:val="18"/>
          <w:szCs w:val="18"/>
        </w:rPr>
        <w:t xml:space="preserve">  → NotarManager.salveazaDovadaBlockchain() [immutable proof]</w:t>
      </w:r>
    </w:p>
    <w:p>
      <w:pPr>
        <w:pBdr>
          <w:left w:val="single" w:color="B34700" w:sz="2" w:space="8"/>
        </w:pBdr>
        <w:spacing w:after="120" w:before="60"/>
        <w:ind w:left="576"/>
      </w:pPr>
      <w:r>
        <w:rPr>
          <w:rFonts w:ascii="Consolas" w:cs="Consolas" w:eastAsia="Consolas" w:hAnsi="Consolas"/>
          <w:color w:val="333333"/>
          <w:sz w:val="18"/>
          <w:szCs w:val="18"/>
        </w:rPr>
        <w:t xml:space="preserve">  → NotarManagerExtins.leagaDeDocument() [bidirectional binding]</w:t>
      </w:r>
    </w:p>
    <w:p>
      <w:pPr>
        <w:pBdr>
          <w:left w:val="single" w:color="B34700" w:sz="2" w:space="8"/>
        </w:pBdr>
        <w:spacing w:after="120" w:before="60"/>
        <w:ind w:left="576"/>
      </w:pPr>
      <w:r>
        <w:rPr>
          <w:rFonts w:ascii="Consolas" w:cs="Consolas" w:eastAsia="Consolas" w:hAnsi="Consolas"/>
          <w:color w:val="333333"/>
          <w:sz w:val="18"/>
          <w:szCs w:val="18"/>
        </w:rPr>
        <w:t xml:space="preserve">  → NotarManagerExtins.verificareLant() [end-to-end check]</w:t>
      </w:r>
    </w:p>
    <w:p>
      <w:pPr>
        <w:spacing w:after="180" w:before="0" w:line="300"/>
        <w:jc w:val="both"/>
      </w:pPr>
      <w:r>
        <w:rPr>
          <w:rFonts w:ascii="Cambria" w:cs="Cambria" w:eastAsia="Cambria" w:hAnsi="Cambria"/>
          <w:i w:val="false"/>
          <w:iCs w:val="false"/>
          <w:sz w:val="22"/>
          <w:szCs w:val="22"/>
        </w:rPr>
        <w:t xml:space="preserve">Each step produces a verifiable artifact. The chain can be audited at any point, by anyone with the public key, without trusting any intermediary.</w:t>
      </w:r>
    </w:p>
    <w:p>
      <w:pPr>
        <w:pStyle w:val="Heading2"/>
        <w:spacing w:after="160" w:before="300"/>
      </w:pPr>
      <w:r>
        <w:rPr>
          <w:rFonts w:ascii="Calibri" w:cs="Calibri" w:eastAsia="Calibri" w:hAnsi="Calibri"/>
          <w:b/>
          <w:bCs/>
          <w:color w:val="1a1a2e"/>
          <w:sz w:val="26"/>
          <w:szCs w:val="26"/>
        </w:rPr>
        <w:t xml:space="preserve">4.4 Status Taxonomy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a1a2e" w:val="clear"/>
            <w:vAlign w:val="center"/>
          </w:tcPr>
          <w:p>
            <w:pPr>
              <w:spacing w:after="40"/>
              <w:jc w:val="center"/>
            </w:pPr>
            <w:r>
              <w:rPr>
                <w:rFonts w:ascii="Calibri" w:cs="Calibri" w:eastAsia="Calibri" w:hAnsi="Calibri"/>
                <w:b/>
                <w:bCs/>
                <w:color w:val="FFFFFF"/>
                <w:sz w:val="20"/>
                <w:szCs w:val="20"/>
              </w:rPr>
              <w:t xml:space="preserve">Status Code</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Meaning</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Verification Level</w:t>
            </w:r>
          </w:p>
        </w:tc>
      </w:tr>
      <w:tr>
        <w:tc>
          <w:tcPr>
            <w:tcW w:type="dxa" w:w="3000"/>
            <w:shd w:fill="F5F5F5" w:val="clear"/>
          </w:tcPr>
          <w:p>
            <w:pPr>
              <w:spacing w:after="40"/>
              <w:jc w:val="center"/>
            </w:pPr>
            <w:r>
              <w:rPr>
                <w:rFonts w:ascii="Cambria" w:cs="Cambria" w:eastAsia="Cambria" w:hAnsi="Cambria"/>
                <w:sz w:val="20"/>
                <w:szCs w:val="20"/>
              </w:rPr>
              <w:t xml:space="preserve">notarizat_si_verificat</w:t>
            </w:r>
          </w:p>
        </w:tc>
        <w:tc>
          <w:tcPr>
            <w:tcW w:type="dxa" w:w="3000"/>
            <w:shd w:fill="F5F5F5" w:val="clear"/>
          </w:tcPr>
          <w:p>
            <w:pPr>
              <w:spacing w:after="40"/>
              <w:jc w:val="center"/>
            </w:pPr>
            <w:r>
              <w:rPr>
                <w:rFonts w:ascii="Cambria" w:cs="Cambria" w:eastAsia="Cambria" w:hAnsi="Cambria"/>
                <w:sz w:val="20"/>
                <w:szCs w:val="20"/>
              </w:rPr>
              <w:t xml:space="preserve">Signed and stored</w:t>
            </w:r>
          </w:p>
        </w:tc>
        <w:tc>
          <w:tcPr>
            <w:tcW w:type="dxa" w:w="3000"/>
            <w:shd w:fill="F5F5F5" w:val="clear"/>
          </w:tcPr>
          <w:p>
            <w:pPr>
              <w:spacing w:after="40"/>
              <w:jc w:val="center"/>
            </w:pPr>
            <w:r>
              <w:rPr>
                <w:rFonts w:ascii="Cambria" w:cs="Cambria" w:eastAsia="Cambria" w:hAnsi="Cambria"/>
                <w:sz w:val="20"/>
                <w:szCs w:val="20"/>
              </w:rPr>
              <w:t xml:space="preserve">Cryptographic</w:t>
            </w:r>
          </w:p>
        </w:tc>
      </w:tr>
      <w:tr>
        <w:tc>
          <w:tcPr>
            <w:tcW w:type="dxa" w:w="3000"/>
            <w:shd w:fill="FFFFFF" w:val="clear"/>
          </w:tcPr>
          <w:p>
            <w:pPr>
              <w:spacing w:after="40"/>
              <w:jc w:val="center"/>
            </w:pPr>
            <w:r>
              <w:rPr>
                <w:rFonts w:ascii="Cambria" w:cs="Cambria" w:eastAsia="Cambria" w:hAnsi="Cambria"/>
                <w:sz w:val="20"/>
                <w:szCs w:val="20"/>
              </w:rPr>
              <w:t xml:space="preserve">notarizat_verificat_blockchain</w:t>
            </w:r>
          </w:p>
        </w:tc>
        <w:tc>
          <w:tcPr>
            <w:tcW w:type="dxa" w:w="3000"/>
            <w:shd w:fill="FFFFFF" w:val="clear"/>
          </w:tcPr>
          <w:p>
            <w:pPr>
              <w:spacing w:after="40"/>
              <w:jc w:val="center"/>
            </w:pPr>
            <w:r>
              <w:rPr>
                <w:rFonts w:ascii="Cambria" w:cs="Cambria" w:eastAsia="Cambria" w:hAnsi="Cambria"/>
                <w:sz w:val="20"/>
                <w:szCs w:val="20"/>
              </w:rPr>
              <w:t xml:space="preserve">Signed + blockchain proof</w:t>
            </w:r>
          </w:p>
        </w:tc>
        <w:tc>
          <w:tcPr>
            <w:tcW w:type="dxa" w:w="3000"/>
            <w:shd w:fill="FFFFFF" w:val="clear"/>
          </w:tcPr>
          <w:p>
            <w:pPr>
              <w:spacing w:after="40"/>
              <w:jc w:val="center"/>
            </w:pPr>
            <w:r>
              <w:rPr>
                <w:rFonts w:ascii="Cambria" w:cs="Cambria" w:eastAsia="Cambria" w:hAnsi="Cambria"/>
                <w:sz w:val="20"/>
                <w:szCs w:val="20"/>
              </w:rPr>
              <w:t xml:space="preserve">Cryptographic + Blockchain</w:t>
            </w:r>
          </w:p>
        </w:tc>
      </w:tr>
      <w:tr>
        <w:tc>
          <w:tcPr>
            <w:tcW w:type="dxa" w:w="3000"/>
            <w:shd w:fill="F5F5F5" w:val="clear"/>
          </w:tcPr>
          <w:p>
            <w:pPr>
              <w:spacing w:after="40"/>
              <w:jc w:val="center"/>
            </w:pPr>
            <w:r>
              <w:rPr>
                <w:rFonts w:ascii="Cambria" w:cs="Cambria" w:eastAsia="Cambria" w:hAnsi="Cambria"/>
                <w:sz w:val="20"/>
                <w:szCs w:val="20"/>
              </w:rPr>
              <w:t xml:space="preserve">lant_complet</w:t>
            </w:r>
          </w:p>
        </w:tc>
        <w:tc>
          <w:tcPr>
            <w:tcW w:type="dxa" w:w="3000"/>
            <w:shd w:fill="F5F5F5" w:val="clear"/>
          </w:tcPr>
          <w:p>
            <w:pPr>
              <w:spacing w:after="40"/>
              <w:jc w:val="center"/>
            </w:pPr>
            <w:r>
              <w:rPr>
                <w:rFonts w:ascii="Cambria" w:cs="Cambria" w:eastAsia="Cambria" w:hAnsi="Cambria"/>
                <w:sz w:val="20"/>
                <w:szCs w:val="20"/>
              </w:rPr>
              <w:t xml:space="preserve">Intention + document + binding verified</w:t>
            </w:r>
          </w:p>
        </w:tc>
        <w:tc>
          <w:tcPr>
            <w:tcW w:type="dxa" w:w="3000"/>
            <w:shd w:fill="F5F5F5" w:val="clear"/>
          </w:tcPr>
          <w:p>
            <w:pPr>
              <w:spacing w:after="40"/>
              <w:jc w:val="center"/>
            </w:pPr>
            <w:r>
              <w:rPr>
                <w:rFonts w:ascii="Cambria" w:cs="Cambria" w:eastAsia="Cambria" w:hAnsi="Cambria"/>
                <w:sz w:val="20"/>
                <w:szCs w:val="20"/>
              </w:rPr>
              <w:t xml:space="preserve">Full chain</w:t>
            </w:r>
          </w:p>
        </w:tc>
      </w:tr>
      <w:tr>
        <w:tc>
          <w:tcPr>
            <w:tcW w:type="dxa" w:w="3000"/>
            <w:shd w:fill="FFFFFF" w:val="clear"/>
          </w:tcPr>
          <w:p>
            <w:pPr>
              <w:spacing w:after="40"/>
              <w:jc w:val="center"/>
            </w:pPr>
            <w:r>
              <w:rPr>
                <w:rFonts w:ascii="Cambria" w:cs="Cambria" w:eastAsia="Cambria" w:hAnsi="Cambria"/>
                <w:sz w:val="20"/>
                <w:szCs w:val="20"/>
              </w:rPr>
              <w:t xml:space="preserve">semnatura_valida_fara_blockchain</w:t>
            </w:r>
          </w:p>
        </w:tc>
        <w:tc>
          <w:tcPr>
            <w:tcW w:type="dxa" w:w="3000"/>
            <w:shd w:fill="FFFFFF" w:val="clear"/>
          </w:tcPr>
          <w:p>
            <w:pPr>
              <w:spacing w:after="40"/>
              <w:jc w:val="center"/>
            </w:pPr>
            <w:r>
              <w:rPr>
                <w:rFonts w:ascii="Cambria" w:cs="Cambria" w:eastAsia="Cambria" w:hAnsi="Cambria"/>
                <w:sz w:val="20"/>
                <w:szCs w:val="20"/>
              </w:rPr>
              <w:t xml:space="preserve">Signature valid, no blockchain</w:t>
            </w:r>
          </w:p>
        </w:tc>
        <w:tc>
          <w:tcPr>
            <w:tcW w:type="dxa" w:w="3000"/>
            <w:shd w:fill="FFFFFF" w:val="clear"/>
          </w:tcPr>
          <w:p>
            <w:pPr>
              <w:spacing w:after="40"/>
              <w:jc w:val="center"/>
            </w:pPr>
            <w:r>
              <w:rPr>
                <w:rFonts w:ascii="Cambria" w:cs="Cambria" w:eastAsia="Cambria" w:hAnsi="Cambria"/>
                <w:sz w:val="20"/>
                <w:szCs w:val="20"/>
              </w:rPr>
              <w:t xml:space="preserve">Cryptographic only</w:t>
            </w:r>
          </w:p>
        </w:tc>
      </w:tr>
      <w:tr>
        <w:tc>
          <w:tcPr>
            <w:tcW w:type="dxa" w:w="3000"/>
            <w:shd w:fill="F5F5F5" w:val="clear"/>
          </w:tcPr>
          <w:p>
            <w:pPr>
              <w:spacing w:after="40"/>
              <w:jc w:val="center"/>
            </w:pPr>
            <w:r>
              <w:rPr>
                <w:rFonts w:ascii="Cambria" w:cs="Cambria" w:eastAsia="Cambria" w:hAnsi="Cambria"/>
                <w:sz w:val="20"/>
                <w:szCs w:val="20"/>
              </w:rPr>
              <w:t xml:space="preserve">intentie_invalida</w:t>
            </w:r>
          </w:p>
        </w:tc>
        <w:tc>
          <w:tcPr>
            <w:tcW w:type="dxa" w:w="3000"/>
            <w:shd w:fill="F5F5F5" w:val="clear"/>
          </w:tcPr>
          <w:p>
            <w:pPr>
              <w:spacing w:after="40"/>
              <w:jc w:val="center"/>
            </w:pPr>
            <w:r>
              <w:rPr>
                <w:rFonts w:ascii="Cambria" w:cs="Cambria" w:eastAsia="Cambria" w:hAnsi="Cambria"/>
                <w:sz w:val="20"/>
                <w:szCs w:val="20"/>
              </w:rPr>
              <w:t xml:space="preserve">Intention hash mismatch</w:t>
            </w:r>
          </w:p>
        </w:tc>
        <w:tc>
          <w:tcPr>
            <w:tcW w:type="dxa" w:w="3000"/>
            <w:shd w:fill="F5F5F5" w:val="clear"/>
          </w:tcPr>
          <w:p>
            <w:pPr>
              <w:spacing w:after="40"/>
              <w:jc w:val="center"/>
            </w:pPr>
            <w:r>
              <w:rPr>
                <w:rFonts w:ascii="Cambria" w:cs="Cambria" w:eastAsia="Cambria" w:hAnsi="Cambria"/>
                <w:sz w:val="20"/>
                <w:szCs w:val="20"/>
              </w:rPr>
              <w:t xml:space="preserve">Failed verification</w:t>
            </w:r>
          </w:p>
        </w:tc>
      </w:tr>
      <w:tr>
        <w:tc>
          <w:tcPr>
            <w:tcW w:type="dxa" w:w="3000"/>
            <w:shd w:fill="FFFFFF" w:val="clear"/>
          </w:tcPr>
          <w:p>
            <w:pPr>
              <w:spacing w:after="40"/>
              <w:jc w:val="center"/>
            </w:pPr>
            <w:r>
              <w:rPr>
                <w:rFonts w:ascii="Cambria" w:cs="Cambria" w:eastAsia="Cambria" w:hAnsi="Cambria"/>
                <w:sz w:val="20"/>
                <w:szCs w:val="20"/>
              </w:rPr>
              <w:t xml:space="preserve">neverificat</w:t>
            </w:r>
          </w:p>
        </w:tc>
        <w:tc>
          <w:tcPr>
            <w:tcW w:type="dxa" w:w="3000"/>
            <w:shd w:fill="FFFFFF" w:val="clear"/>
          </w:tcPr>
          <w:p>
            <w:pPr>
              <w:spacing w:after="40"/>
              <w:jc w:val="center"/>
            </w:pPr>
            <w:r>
              <w:rPr>
                <w:rFonts w:ascii="Cambria" w:cs="Cambria" w:eastAsia="Cambria" w:hAnsi="Cambria"/>
                <w:sz w:val="20"/>
                <w:szCs w:val="20"/>
              </w:rPr>
              <w:t xml:space="preserve">No valid signature or blockchain</w:t>
            </w:r>
          </w:p>
        </w:tc>
        <w:tc>
          <w:tcPr>
            <w:tcW w:type="dxa" w:w="3000"/>
            <w:shd w:fill="FFFFFF" w:val="clear"/>
          </w:tcPr>
          <w:p>
            <w:pPr>
              <w:spacing w:after="40"/>
              <w:jc w:val="center"/>
            </w:pPr>
            <w:r>
              <w:rPr>
                <w:rFonts w:ascii="Cambria" w:cs="Cambria" w:eastAsia="Cambria" w:hAnsi="Cambria"/>
                <w:sz w:val="20"/>
                <w:szCs w:val="20"/>
              </w:rPr>
              <w:t xml:space="preserve">Unverified</w:t>
            </w:r>
          </w:p>
        </w:tc>
      </w:tr>
    </w:tbl>
    <w:p>
      <w:pPr>
        <w:pStyle w:val="Heading1"/>
        <w:spacing w:after="160" w:before="400"/>
      </w:pPr>
      <w:r>
        <w:rPr>
          <w:rFonts w:ascii="Calibri" w:cs="Calibri" w:eastAsia="Calibri" w:hAnsi="Calibri"/>
          <w:b/>
          <w:bCs/>
          <w:color w:val="1a1a2e"/>
          <w:sz w:val="32"/>
          <w:szCs w:val="32"/>
        </w:rPr>
        <w:t xml:space="preserve">5. Implementation</w:t>
      </w:r>
    </w:p>
    <w:p>
      <w:pPr>
        <w:pStyle w:val="Heading2"/>
        <w:spacing w:after="160" w:before="300"/>
      </w:pPr>
      <w:r>
        <w:rPr>
          <w:rFonts w:ascii="Calibri" w:cs="Calibri" w:eastAsia="Calibri" w:hAnsi="Calibri"/>
          <w:b/>
          <w:bCs/>
          <w:color w:val="1a1a2e"/>
          <w:sz w:val="26"/>
          <w:szCs w:val="26"/>
        </w:rPr>
        <w:t xml:space="preserve">5.1 Technology Stack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a1a2e" w:val="clear"/>
            <w:vAlign w:val="center"/>
          </w:tcPr>
          <w:p>
            <w:pPr>
              <w:spacing w:after="40"/>
              <w:jc w:val="center"/>
            </w:pPr>
            <w:r>
              <w:rPr>
                <w:rFonts w:ascii="Calibri" w:cs="Calibri" w:eastAsia="Calibri" w:hAnsi="Calibri"/>
                <w:b/>
                <w:bCs/>
                <w:color w:val="FFFFFF"/>
                <w:sz w:val="20"/>
                <w:szCs w:val="20"/>
              </w:rPr>
              <w:t xml:space="preserve">Component</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Technology</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Purpose</w:t>
            </w:r>
          </w:p>
        </w:tc>
      </w:tr>
      <w:tr>
        <w:tc>
          <w:tcPr>
            <w:tcW w:type="dxa" w:w="3000"/>
            <w:shd w:fill="F5F5F5" w:val="clear"/>
          </w:tcPr>
          <w:p>
            <w:pPr>
              <w:spacing w:after="40"/>
              <w:jc w:val="center"/>
            </w:pPr>
            <w:r>
              <w:rPr>
                <w:rFonts w:ascii="Cambria" w:cs="Cambria" w:eastAsia="Cambria" w:hAnsi="Cambria"/>
                <w:sz w:val="20"/>
                <w:szCs w:val="20"/>
              </w:rPr>
              <w:t xml:space="preserve">Digital Signatures</w:t>
            </w:r>
          </w:p>
        </w:tc>
        <w:tc>
          <w:tcPr>
            <w:tcW w:type="dxa" w:w="3000"/>
            <w:shd w:fill="F5F5F5" w:val="clear"/>
          </w:tcPr>
          <w:p>
            <w:pPr>
              <w:spacing w:after="40"/>
              <w:jc w:val="center"/>
            </w:pPr>
            <w:r>
              <w:rPr>
                <w:rFonts w:ascii="Cambria" w:cs="Cambria" w:eastAsia="Cambria" w:hAnsi="Cambria"/>
                <w:sz w:val="20"/>
                <w:szCs w:val="20"/>
              </w:rPr>
              <w:t xml:space="preserve">ECDSA P-256 (Web Crypto API)</w:t>
            </w:r>
          </w:p>
        </w:tc>
        <w:tc>
          <w:tcPr>
            <w:tcW w:type="dxa" w:w="3000"/>
            <w:shd w:fill="F5F5F5" w:val="clear"/>
          </w:tcPr>
          <w:p>
            <w:pPr>
              <w:spacing w:after="40"/>
              <w:jc w:val="center"/>
            </w:pPr>
            <w:r>
              <w:rPr>
                <w:rFonts w:ascii="Cambria" w:cs="Cambria" w:eastAsia="Cambria" w:hAnsi="Cambria"/>
                <w:sz w:val="20"/>
                <w:szCs w:val="20"/>
              </w:rPr>
              <w:t xml:space="preserve">Document signing and verification</w:t>
            </w:r>
          </w:p>
        </w:tc>
      </w:tr>
      <w:tr>
        <w:tc>
          <w:tcPr>
            <w:tcW w:type="dxa" w:w="3000"/>
            <w:shd w:fill="FFFFFF" w:val="clear"/>
          </w:tcPr>
          <w:p>
            <w:pPr>
              <w:spacing w:after="40"/>
              <w:jc w:val="center"/>
            </w:pPr>
            <w:r>
              <w:rPr>
                <w:rFonts w:ascii="Cambria" w:cs="Cambria" w:eastAsia="Cambria" w:hAnsi="Cambria"/>
                <w:sz w:val="20"/>
                <w:szCs w:val="20"/>
              </w:rPr>
              <w:t xml:space="preserve">Hashing</w:t>
            </w:r>
          </w:p>
        </w:tc>
        <w:tc>
          <w:tcPr>
            <w:tcW w:type="dxa" w:w="3000"/>
            <w:shd w:fill="FFFFFF" w:val="clear"/>
          </w:tcPr>
          <w:p>
            <w:pPr>
              <w:spacing w:after="40"/>
              <w:jc w:val="center"/>
            </w:pPr>
            <w:r>
              <w:rPr>
                <w:rFonts w:ascii="Cambria" w:cs="Cambria" w:eastAsia="Cambria" w:hAnsi="Cambria"/>
                <w:sz w:val="20"/>
                <w:szCs w:val="20"/>
              </w:rPr>
              <w:t xml:space="preserve">SHA-256 (SubtleCrypto)</w:t>
            </w:r>
          </w:p>
        </w:tc>
        <w:tc>
          <w:tcPr>
            <w:tcW w:type="dxa" w:w="3000"/>
            <w:shd w:fill="FFFFFF" w:val="clear"/>
          </w:tcPr>
          <w:p>
            <w:pPr>
              <w:spacing w:after="40"/>
              <w:jc w:val="center"/>
            </w:pPr>
            <w:r>
              <w:rPr>
                <w:rFonts w:ascii="Cambria" w:cs="Cambria" w:eastAsia="Cambria" w:hAnsi="Cambria"/>
                <w:sz w:val="20"/>
                <w:szCs w:val="20"/>
              </w:rPr>
              <w:t xml:space="preserve">Document integrity fingerprinting</w:t>
            </w:r>
          </w:p>
        </w:tc>
      </w:tr>
      <w:tr>
        <w:tc>
          <w:tcPr>
            <w:tcW w:type="dxa" w:w="3000"/>
            <w:shd w:fill="F5F5F5" w:val="clear"/>
          </w:tcPr>
          <w:p>
            <w:pPr>
              <w:spacing w:after="40"/>
              <w:jc w:val="center"/>
            </w:pPr>
            <w:r>
              <w:rPr>
                <w:rFonts w:ascii="Cambria" w:cs="Cambria" w:eastAsia="Cambria" w:hAnsi="Cambria"/>
                <w:sz w:val="20"/>
                <w:szCs w:val="20"/>
              </w:rPr>
              <w:t xml:space="preserve">Key Exchange</w:t>
            </w:r>
          </w:p>
        </w:tc>
        <w:tc>
          <w:tcPr>
            <w:tcW w:type="dxa" w:w="3000"/>
            <w:shd w:fill="F5F5F5" w:val="clear"/>
          </w:tcPr>
          <w:p>
            <w:pPr>
              <w:spacing w:after="40"/>
              <w:jc w:val="center"/>
            </w:pPr>
            <w:r>
              <w:rPr>
                <w:rFonts w:ascii="Cambria" w:cs="Cambria" w:eastAsia="Cambria" w:hAnsi="Cambria"/>
                <w:sz w:val="20"/>
                <w:szCs w:val="20"/>
              </w:rPr>
              <w:t xml:space="preserve">JWK (JSON Web Key)</w:t>
            </w:r>
          </w:p>
        </w:tc>
        <w:tc>
          <w:tcPr>
            <w:tcW w:type="dxa" w:w="3000"/>
            <w:shd w:fill="F5F5F5" w:val="clear"/>
          </w:tcPr>
          <w:p>
            <w:pPr>
              <w:spacing w:after="40"/>
              <w:jc w:val="center"/>
            </w:pPr>
            <w:r>
              <w:rPr>
                <w:rFonts w:ascii="Cambria" w:cs="Cambria" w:eastAsia="Cambria" w:hAnsi="Cambria"/>
                <w:sz w:val="20"/>
                <w:szCs w:val="20"/>
              </w:rPr>
              <w:t xml:space="preserve">Public key export/import</w:t>
            </w:r>
          </w:p>
        </w:tc>
      </w:tr>
      <w:tr>
        <w:tc>
          <w:tcPr>
            <w:tcW w:type="dxa" w:w="3000"/>
            <w:shd w:fill="FFFFFF" w:val="clear"/>
          </w:tcPr>
          <w:p>
            <w:pPr>
              <w:spacing w:after="40"/>
              <w:jc w:val="center"/>
            </w:pPr>
            <w:r>
              <w:rPr>
                <w:rFonts w:ascii="Cambria" w:cs="Cambria" w:eastAsia="Cambria" w:hAnsi="Cambria"/>
                <w:sz w:val="20"/>
                <w:szCs w:val="20"/>
              </w:rPr>
              <w:t xml:space="preserve">Document Storage</w:t>
            </w:r>
          </w:p>
        </w:tc>
        <w:tc>
          <w:tcPr>
            <w:tcW w:type="dxa" w:w="3000"/>
            <w:shd w:fill="FFFFFF" w:val="clear"/>
          </w:tcPr>
          <w:p>
            <w:pPr>
              <w:spacing w:after="40"/>
              <w:jc w:val="center"/>
            </w:pPr>
            <w:r>
              <w:rPr>
                <w:rFonts w:ascii="Cambria" w:cs="Cambria" w:eastAsia="Cambria" w:hAnsi="Cambria"/>
                <w:sz w:val="20"/>
                <w:szCs w:val="20"/>
              </w:rPr>
              <w:t xml:space="preserve">Firebase Cloud Firestore</w:t>
            </w:r>
          </w:p>
        </w:tc>
        <w:tc>
          <w:tcPr>
            <w:tcW w:type="dxa" w:w="3000"/>
            <w:shd w:fill="FFFFFF" w:val="clear"/>
          </w:tcPr>
          <w:p>
            <w:pPr>
              <w:spacing w:after="40"/>
              <w:jc w:val="center"/>
            </w:pPr>
            <w:r>
              <w:rPr>
                <w:rFonts w:ascii="Cambria" w:cs="Cambria" w:eastAsia="Cambria" w:hAnsi="Cambria"/>
                <w:sz w:val="20"/>
                <w:szCs w:val="20"/>
              </w:rPr>
              <w:t xml:space="preserve">Persistent storage with audit trail</w:t>
            </w:r>
          </w:p>
        </w:tc>
      </w:tr>
      <w:tr>
        <w:tc>
          <w:tcPr>
            <w:tcW w:type="dxa" w:w="3000"/>
            <w:shd w:fill="F5F5F5" w:val="clear"/>
          </w:tcPr>
          <w:p>
            <w:pPr>
              <w:spacing w:after="40"/>
              <w:jc w:val="center"/>
            </w:pPr>
            <w:r>
              <w:rPr>
                <w:rFonts w:ascii="Cambria" w:cs="Cambria" w:eastAsia="Cambria" w:hAnsi="Cambria"/>
                <w:sz w:val="20"/>
                <w:szCs w:val="20"/>
              </w:rPr>
              <w:t xml:space="preserve">Blockchain</w:t>
            </w:r>
          </w:p>
        </w:tc>
        <w:tc>
          <w:tcPr>
            <w:tcW w:type="dxa" w:w="3000"/>
            <w:shd w:fill="F5F5F5" w:val="clear"/>
          </w:tcPr>
          <w:p>
            <w:pPr>
              <w:spacing w:after="40"/>
              <w:jc w:val="center"/>
            </w:pPr>
            <w:r>
              <w:rPr>
                <w:rFonts w:ascii="Cambria" w:cs="Cambria" w:eastAsia="Cambria" w:hAnsi="Cambria"/>
                <w:sz w:val="20"/>
                <w:szCs w:val="20"/>
              </w:rPr>
              <w:t xml:space="preserve">Tezos (Ghostnet/Mainnet)</w:t>
            </w:r>
          </w:p>
        </w:tc>
        <w:tc>
          <w:tcPr>
            <w:tcW w:type="dxa" w:w="3000"/>
            <w:shd w:fill="F5F5F5" w:val="clear"/>
          </w:tcPr>
          <w:p>
            <w:pPr>
              <w:spacing w:after="40"/>
              <w:jc w:val="center"/>
            </w:pPr>
            <w:r>
              <w:rPr>
                <w:rFonts w:ascii="Cambria" w:cs="Cambria" w:eastAsia="Cambria" w:hAnsi="Cambria"/>
                <w:sz w:val="20"/>
                <w:szCs w:val="20"/>
              </w:rPr>
              <w:t xml:space="preserve">Immutable proof anchoring</w:t>
            </w:r>
          </w:p>
        </w:tc>
      </w:tr>
      <w:tr>
        <w:tc>
          <w:tcPr>
            <w:tcW w:type="dxa" w:w="3000"/>
            <w:shd w:fill="FFFFFF" w:val="clear"/>
          </w:tcPr>
          <w:p>
            <w:pPr>
              <w:spacing w:after="40"/>
              <w:jc w:val="center"/>
            </w:pPr>
            <w:r>
              <w:rPr>
                <w:rFonts w:ascii="Cambria" w:cs="Cambria" w:eastAsia="Cambria" w:hAnsi="Cambria"/>
                <w:sz w:val="20"/>
                <w:szCs w:val="20"/>
              </w:rPr>
              <w:t xml:space="preserve">Runtime</w:t>
            </w:r>
          </w:p>
        </w:tc>
        <w:tc>
          <w:tcPr>
            <w:tcW w:type="dxa" w:w="3000"/>
            <w:shd w:fill="FFFFFF" w:val="clear"/>
          </w:tcPr>
          <w:p>
            <w:pPr>
              <w:spacing w:after="40"/>
              <w:jc w:val="center"/>
            </w:pPr>
            <w:r>
              <w:rPr>
                <w:rFonts w:ascii="Cambria" w:cs="Cambria" w:eastAsia="Cambria" w:hAnsi="Cambria"/>
                <w:sz w:val="20"/>
                <w:szCs w:val="20"/>
              </w:rPr>
              <w:t xml:space="preserve">TypeScript / Browser</w:t>
            </w:r>
          </w:p>
        </w:tc>
        <w:tc>
          <w:tcPr>
            <w:tcW w:type="dxa" w:w="3000"/>
            <w:shd w:fill="FFFFFF" w:val="clear"/>
          </w:tcPr>
          <w:p>
            <w:pPr>
              <w:spacing w:after="40"/>
              <w:jc w:val="center"/>
            </w:pPr>
            <w:r>
              <w:rPr>
                <w:rFonts w:ascii="Cambria" w:cs="Cambria" w:eastAsia="Cambria" w:hAnsi="Cambria"/>
                <w:sz w:val="20"/>
                <w:szCs w:val="20"/>
              </w:rPr>
              <w:t xml:space="preserve">Client-side cryptographic operations</w:t>
            </w:r>
          </w:p>
        </w:tc>
      </w:tr>
      <w:tr>
        <w:tc>
          <w:tcPr>
            <w:tcW w:type="dxa" w:w="3000"/>
            <w:shd w:fill="F5F5F5" w:val="clear"/>
          </w:tcPr>
          <w:p>
            <w:pPr>
              <w:spacing w:after="40"/>
              <w:jc w:val="center"/>
            </w:pPr>
            <w:r>
              <w:rPr>
                <w:rFonts w:ascii="Cambria" w:cs="Cambria" w:eastAsia="Cambria" w:hAnsi="Cambria"/>
                <w:sz w:val="20"/>
                <w:szCs w:val="20"/>
              </w:rPr>
              <w:t xml:space="preserve">Agent Platform</w:t>
            </w:r>
          </w:p>
        </w:tc>
        <w:tc>
          <w:tcPr>
            <w:tcW w:type="dxa" w:w="3000"/>
            <w:shd w:fill="F5F5F5" w:val="clear"/>
          </w:tcPr>
          <w:p>
            <w:pPr>
              <w:spacing w:after="40"/>
              <w:jc w:val="center"/>
            </w:pPr>
            <w:r>
              <w:rPr>
                <w:rFonts w:ascii="Cambria" w:cs="Cambria" w:eastAsia="Cambria" w:hAnsi="Cambria"/>
                <w:sz w:val="20"/>
                <w:szCs w:val="20"/>
              </w:rPr>
              <w:t xml:space="preserve">BRIDGRAI A2A (8 agents)</w:t>
            </w:r>
          </w:p>
        </w:tc>
        <w:tc>
          <w:tcPr>
            <w:tcW w:type="dxa" w:w="3000"/>
            <w:shd w:fill="F5F5F5" w:val="clear"/>
          </w:tcPr>
          <w:p>
            <w:pPr>
              <w:spacing w:after="40"/>
              <w:jc w:val="center"/>
            </w:pPr>
            <w:r>
              <w:rPr>
                <w:rFonts w:ascii="Cambria" w:cs="Cambria" w:eastAsia="Cambria" w:hAnsi="Cambria"/>
                <w:sz w:val="20"/>
                <w:szCs w:val="20"/>
              </w:rPr>
              <w:t xml:space="preserve">Semantic verification orchestration</w:t>
            </w:r>
          </w:p>
        </w:tc>
      </w:tr>
    </w:tbl>
    <w:p>
      <w:pPr>
        <w:spacing w:after="200"/>
      </w:pPr>
    </w:p>
    <w:p>
      <w:pPr>
        <w:pStyle w:val="Heading2"/>
        <w:spacing w:after="160" w:before="300"/>
      </w:pPr>
      <w:r>
        <w:rPr>
          <w:rFonts w:ascii="Calibri" w:cs="Calibri" w:eastAsia="Calibri" w:hAnsi="Calibri"/>
          <w:b/>
          <w:bCs/>
          <w:color w:val="1a1a2e"/>
          <w:sz w:val="26"/>
          <w:szCs w:val="26"/>
        </w:rPr>
        <w:t xml:space="preserve">5.2 Security Model</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Private keys never leave the browser.</w:t>
      </w:r>
      <w:r>
        <w:rPr>
          <w:rFonts w:ascii="Cambria" w:cs="Cambria" w:eastAsia="Cambria" w:hAnsi="Cambria"/>
          <w:sz w:val="22"/>
          <w:szCs w:val="22"/>
        </w:rPr>
        <w:t xml:space="preserve"> All cryptographic operations execute locally via the Web Crypto API.</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Zero-knowledge verification.</w:t>
      </w:r>
      <w:r>
        <w:rPr>
          <w:rFonts w:ascii="Cambria" w:cs="Cambria" w:eastAsia="Cambria" w:hAnsi="Cambria"/>
          <w:sz w:val="22"/>
          <w:szCs w:val="22"/>
        </w:rPr>
        <w:t xml:space="preserve"> Anyone with the public key can verify a signature without accessing the original content.</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Immutable blockchain anchoring.</w:t>
      </w:r>
      <w:r>
        <w:rPr>
          <w:rFonts w:ascii="Cambria" w:cs="Cambria" w:eastAsia="Cambria" w:hAnsi="Cambria"/>
          <w:sz w:val="22"/>
          <w:szCs w:val="22"/>
        </w:rPr>
        <w:t xml:space="preserve"> Once a hash is recorded on Tezos, it cannot be altered or removed.</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Audit trail preservation.</w:t>
      </w:r>
      <w:r>
        <w:rPr>
          <w:rFonts w:ascii="Cambria" w:cs="Cambria" w:eastAsia="Cambria" w:hAnsi="Cambria"/>
          <w:sz w:val="22"/>
          <w:szCs w:val="22"/>
        </w:rPr>
        <w:t xml:space="preserve"> Revoked intentions are marked, not deleted. The complete history is always available.</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GDPR compliance.</w:t>
      </w:r>
      <w:r>
        <w:rPr>
          <w:rFonts w:ascii="Cambria" w:cs="Cambria" w:eastAsia="Cambria" w:hAnsi="Cambria"/>
          <w:sz w:val="22"/>
          <w:szCs w:val="22"/>
        </w:rPr>
        <w:t xml:space="preserve"> Users control what is persisted. Deletion rights are implemented. No tracking or analytics.</w:t>
      </w:r>
    </w:p>
    <w:p>
      <w:pPr>
        <w:pStyle w:val="Heading2"/>
        <w:spacing w:after="160" w:before="300"/>
      </w:pPr>
      <w:r>
        <w:rPr>
          <w:rFonts w:ascii="Calibri" w:cs="Calibri" w:eastAsia="Calibri" w:hAnsi="Calibri"/>
          <w:b/>
          <w:bCs/>
          <w:color w:val="1a1a2e"/>
          <w:sz w:val="26"/>
          <w:szCs w:val="26"/>
        </w:rPr>
        <w:t xml:space="preserve">5.3 The BRIDGRAI A2A Context</w:t>
      </w:r>
    </w:p>
    <w:p>
      <w:pPr>
        <w:spacing w:after="180" w:before="0" w:line="300"/>
        <w:jc w:val="both"/>
      </w:pPr>
      <w:r>
        <w:rPr>
          <w:rFonts w:ascii="Cambria" w:cs="Cambria" w:eastAsia="Cambria" w:hAnsi="Cambria"/>
          <w:i w:val="false"/>
          <w:iCs w:val="false"/>
          <w:sz w:val="22"/>
          <w:szCs w:val="22"/>
        </w:rPr>
        <w:t xml:space="preserve">The Semantic Notarization system operates within the BRIDGRAI Agent-to-Agent (A2A) platform, which orchestrates 8 specialized agents: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1a1a2e" w:val="clear"/>
            <w:vAlign w:val="center"/>
          </w:tcPr>
          <w:p>
            <w:pPr>
              <w:spacing w:after="40"/>
              <w:jc w:val="center"/>
            </w:pPr>
            <w:r>
              <w:rPr>
                <w:rFonts w:ascii="Calibri" w:cs="Calibri" w:eastAsia="Calibri" w:hAnsi="Calibri"/>
                <w:b/>
                <w:bCs/>
                <w:color w:val="FFFFFF"/>
                <w:sz w:val="20"/>
                <w:szCs w:val="20"/>
              </w:rPr>
              <w:t xml:space="preserve">Agent</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Function</w:t>
            </w:r>
          </w:p>
        </w:tc>
        <w:tc>
          <w:tcPr>
            <w:tcW w:type="dxa" w:w="3000"/>
            <w:shd w:fill="1a1a2e" w:val="clear"/>
            <w:vAlign w:val="center"/>
          </w:tcPr>
          <w:p>
            <w:pPr>
              <w:spacing w:after="40"/>
              <w:jc w:val="center"/>
            </w:pPr>
            <w:r>
              <w:rPr>
                <w:rFonts w:ascii="Calibri" w:cs="Calibri" w:eastAsia="Calibri" w:hAnsi="Calibri"/>
                <w:b/>
                <w:bCs/>
                <w:color w:val="FFFFFF"/>
                <w:sz w:val="20"/>
                <w:szCs w:val="20"/>
              </w:rPr>
              <w:t xml:space="preserve">Role in Notarization</w:t>
            </w:r>
          </w:p>
        </w:tc>
      </w:tr>
      <w:tr>
        <w:tc>
          <w:tcPr>
            <w:tcW w:type="dxa" w:w="3000"/>
            <w:shd w:fill="F5F5F5" w:val="clear"/>
          </w:tcPr>
          <w:p>
            <w:pPr>
              <w:spacing w:after="40"/>
              <w:jc w:val="center"/>
            </w:pPr>
            <w:r>
              <w:rPr>
                <w:rFonts w:ascii="Cambria" w:cs="Cambria" w:eastAsia="Cambria" w:hAnsi="Cambria"/>
                <w:sz w:val="20"/>
                <w:szCs w:val="20"/>
              </w:rPr>
              <w:t xml:space="preserve">UKBE</w:t>
            </w:r>
          </w:p>
        </w:tc>
        <w:tc>
          <w:tcPr>
            <w:tcW w:type="dxa" w:w="3000"/>
            <w:shd w:fill="F5F5F5" w:val="clear"/>
          </w:tcPr>
          <w:p>
            <w:pPr>
              <w:spacing w:after="40"/>
              <w:jc w:val="center"/>
            </w:pPr>
            <w:r>
              <w:rPr>
                <w:rFonts w:ascii="Cambria" w:cs="Cambria" w:eastAsia="Cambria" w:hAnsi="Cambria"/>
                <w:sz w:val="20"/>
                <w:szCs w:val="20"/>
              </w:rPr>
              <w:t xml:space="preserve">Core behavioral engine</w:t>
            </w:r>
          </w:p>
        </w:tc>
        <w:tc>
          <w:tcPr>
            <w:tcW w:type="dxa" w:w="3000"/>
            <w:shd w:fill="F5F5F5" w:val="clear"/>
          </w:tcPr>
          <w:p>
            <w:pPr>
              <w:spacing w:after="40"/>
              <w:jc w:val="center"/>
            </w:pPr>
            <w:r>
              <w:rPr>
                <w:rFonts w:ascii="Cambria" w:cs="Cambria" w:eastAsia="Cambria" w:hAnsi="Cambria"/>
                <w:sz w:val="20"/>
                <w:szCs w:val="20"/>
              </w:rPr>
              <w:t xml:space="preserve">Baseline semantic evaluation</w:t>
            </w:r>
          </w:p>
        </w:tc>
      </w:tr>
      <w:tr>
        <w:tc>
          <w:tcPr>
            <w:tcW w:type="dxa" w:w="3000"/>
            <w:shd w:fill="FFFFFF" w:val="clear"/>
          </w:tcPr>
          <w:p>
            <w:pPr>
              <w:spacing w:after="40"/>
              <w:jc w:val="center"/>
            </w:pPr>
            <w:r>
              <w:rPr>
                <w:rFonts w:ascii="Cambria" w:cs="Cambria" w:eastAsia="Cambria" w:hAnsi="Cambria"/>
                <w:sz w:val="20"/>
                <w:szCs w:val="20"/>
              </w:rPr>
              <w:t xml:space="preserve">CASP</w:t>
            </w:r>
          </w:p>
        </w:tc>
        <w:tc>
          <w:tcPr>
            <w:tcW w:type="dxa" w:w="3000"/>
            <w:shd w:fill="FFFFFF" w:val="clear"/>
          </w:tcPr>
          <w:p>
            <w:pPr>
              <w:spacing w:after="40"/>
              <w:jc w:val="center"/>
            </w:pPr>
            <w:r>
              <w:rPr>
                <w:rFonts w:ascii="Cambria" w:cs="Cambria" w:eastAsia="Cambria" w:hAnsi="Cambria"/>
                <w:sz w:val="20"/>
                <w:szCs w:val="20"/>
              </w:rPr>
              <w:t xml:space="preserve">Context-aware semantic parsing</w:t>
            </w:r>
          </w:p>
        </w:tc>
        <w:tc>
          <w:tcPr>
            <w:tcW w:type="dxa" w:w="3000"/>
            <w:shd w:fill="FFFFFF" w:val="clear"/>
          </w:tcPr>
          <w:p>
            <w:pPr>
              <w:spacing w:after="40"/>
              <w:jc w:val="center"/>
            </w:pPr>
            <w:r>
              <w:rPr>
                <w:rFonts w:ascii="Cambria" w:cs="Cambria" w:eastAsia="Cambria" w:hAnsi="Cambria"/>
                <w:sz w:val="20"/>
                <w:szCs w:val="20"/>
              </w:rPr>
              <w:t xml:space="preserve">Intent extraction</w:t>
            </w:r>
          </w:p>
        </w:tc>
      </w:tr>
      <w:tr>
        <w:tc>
          <w:tcPr>
            <w:tcW w:type="dxa" w:w="3000"/>
            <w:shd w:fill="F5F5F5" w:val="clear"/>
          </w:tcPr>
          <w:p>
            <w:pPr>
              <w:spacing w:after="40"/>
              <w:jc w:val="center"/>
            </w:pPr>
            <w:r>
              <w:rPr>
                <w:rFonts w:ascii="Cambria" w:cs="Cambria" w:eastAsia="Cambria" w:hAnsi="Cambria"/>
                <w:sz w:val="20"/>
                <w:szCs w:val="20"/>
              </w:rPr>
              <w:t xml:space="preserve">HASN</w:t>
            </w:r>
          </w:p>
        </w:tc>
        <w:tc>
          <w:tcPr>
            <w:tcW w:type="dxa" w:w="3000"/>
            <w:shd w:fill="F5F5F5" w:val="clear"/>
          </w:tcPr>
          <w:p>
            <w:pPr>
              <w:spacing w:after="40"/>
              <w:jc w:val="center"/>
            </w:pPr>
            <w:r>
              <w:rPr>
                <w:rFonts w:ascii="Cambria" w:cs="Cambria" w:eastAsia="Cambria" w:hAnsi="Cambria"/>
                <w:sz w:val="20"/>
                <w:szCs w:val="20"/>
              </w:rPr>
              <w:t xml:space="preserve">Hierarchical attention scoring</w:t>
            </w:r>
          </w:p>
        </w:tc>
        <w:tc>
          <w:tcPr>
            <w:tcW w:type="dxa" w:w="3000"/>
            <w:shd w:fill="F5F5F5" w:val="clear"/>
          </w:tcPr>
          <w:p>
            <w:pPr>
              <w:spacing w:after="40"/>
              <w:jc w:val="center"/>
            </w:pPr>
            <w:r>
              <w:rPr>
                <w:rFonts w:ascii="Cambria" w:cs="Cambria" w:eastAsia="Cambria" w:hAnsi="Cambria"/>
                <w:sz w:val="20"/>
                <w:szCs w:val="20"/>
              </w:rPr>
              <w:t xml:space="preserve">Attention-based verification</w:t>
            </w:r>
          </w:p>
        </w:tc>
      </w:tr>
      <w:tr>
        <w:tc>
          <w:tcPr>
            <w:tcW w:type="dxa" w:w="3000"/>
            <w:shd w:fill="FFFFFF" w:val="clear"/>
          </w:tcPr>
          <w:p>
            <w:pPr>
              <w:spacing w:after="40"/>
              <w:jc w:val="center"/>
            </w:pPr>
            <w:r>
              <w:rPr>
                <w:rFonts w:ascii="Cambria" w:cs="Cambria" w:eastAsia="Cambria" w:hAnsi="Cambria"/>
                <w:sz w:val="20"/>
                <w:szCs w:val="20"/>
              </w:rPr>
              <w:t xml:space="preserve">Sens Agent</w:t>
            </w:r>
          </w:p>
        </w:tc>
        <w:tc>
          <w:tcPr>
            <w:tcW w:type="dxa" w:w="3000"/>
            <w:shd w:fill="FFFFFF" w:val="clear"/>
          </w:tcPr>
          <w:p>
            <w:pPr>
              <w:spacing w:after="40"/>
              <w:jc w:val="center"/>
            </w:pPr>
            <w:r>
              <w:rPr>
                <w:rFonts w:ascii="Cambria" w:cs="Cambria" w:eastAsia="Cambria" w:hAnsi="Cambria"/>
                <w:sz w:val="20"/>
                <w:szCs w:val="20"/>
              </w:rPr>
              <w:t xml:space="preserve">Meaning validation</w:t>
            </w:r>
          </w:p>
        </w:tc>
        <w:tc>
          <w:tcPr>
            <w:tcW w:type="dxa" w:w="3000"/>
            <w:shd w:fill="FFFFFF" w:val="clear"/>
          </w:tcPr>
          <w:p>
            <w:pPr>
              <w:spacing w:after="40"/>
              <w:jc w:val="center"/>
            </w:pPr>
            <w:r>
              <w:rPr>
                <w:rFonts w:ascii="Cambria" w:cs="Cambria" w:eastAsia="Cambria" w:hAnsi="Cambria"/>
                <w:sz w:val="20"/>
                <w:szCs w:val="20"/>
              </w:rPr>
              <w:t xml:space="preserve">Semantic invariance check</w:t>
            </w:r>
          </w:p>
        </w:tc>
      </w:tr>
      <w:tr>
        <w:tc>
          <w:tcPr>
            <w:tcW w:type="dxa" w:w="3000"/>
            <w:shd w:fill="F5F5F5" w:val="clear"/>
          </w:tcPr>
          <w:p>
            <w:pPr>
              <w:spacing w:after="40"/>
              <w:jc w:val="center"/>
            </w:pPr>
            <w:r>
              <w:rPr>
                <w:rFonts w:ascii="Cambria" w:cs="Cambria" w:eastAsia="Cambria" w:hAnsi="Cambria"/>
                <w:sz w:val="20"/>
                <w:szCs w:val="20"/>
              </w:rPr>
              <w:t xml:space="preserve">ACR</w:t>
            </w:r>
          </w:p>
        </w:tc>
        <w:tc>
          <w:tcPr>
            <w:tcW w:type="dxa" w:w="3000"/>
            <w:shd w:fill="F5F5F5" w:val="clear"/>
          </w:tcPr>
          <w:p>
            <w:pPr>
              <w:spacing w:after="40"/>
              <w:jc w:val="center"/>
            </w:pPr>
            <w:r>
              <w:rPr>
                <w:rFonts w:ascii="Cambria" w:cs="Cambria" w:eastAsia="Cambria" w:hAnsi="Cambria"/>
                <w:sz w:val="20"/>
                <w:szCs w:val="20"/>
              </w:rPr>
              <w:t xml:space="preserve">Anti-confabulation runtime</w:t>
            </w:r>
          </w:p>
        </w:tc>
        <w:tc>
          <w:tcPr>
            <w:tcW w:type="dxa" w:w="3000"/>
            <w:shd w:fill="F5F5F5" w:val="clear"/>
          </w:tcPr>
          <w:p>
            <w:pPr>
              <w:spacing w:after="40"/>
              <w:jc w:val="center"/>
            </w:pPr>
            <w:r>
              <w:rPr>
                <w:rFonts w:ascii="Cambria" w:cs="Cambria" w:eastAsia="Cambria" w:hAnsi="Cambria"/>
                <w:sz w:val="20"/>
                <w:szCs w:val="20"/>
              </w:rPr>
              <w:t xml:space="preserve">KL divergence monitoring</w:t>
            </w:r>
          </w:p>
        </w:tc>
      </w:tr>
      <w:tr>
        <w:tc>
          <w:tcPr>
            <w:tcW w:type="dxa" w:w="3000"/>
            <w:shd w:fill="FFFFFF" w:val="clear"/>
          </w:tcPr>
          <w:p>
            <w:pPr>
              <w:spacing w:after="40"/>
              <w:jc w:val="center"/>
            </w:pPr>
            <w:r>
              <w:rPr>
                <w:rFonts w:ascii="Cambria" w:cs="Cambria" w:eastAsia="Cambria" w:hAnsi="Cambria"/>
                <w:sz w:val="20"/>
                <w:szCs w:val="20"/>
              </w:rPr>
              <w:t xml:space="preserve">Concordance</w:t>
            </w:r>
          </w:p>
        </w:tc>
        <w:tc>
          <w:tcPr>
            <w:tcW w:type="dxa" w:w="3000"/>
            <w:shd w:fill="FFFFFF" w:val="clear"/>
          </w:tcPr>
          <w:p>
            <w:pPr>
              <w:spacing w:after="40"/>
              <w:jc w:val="center"/>
            </w:pPr>
            <w:r>
              <w:rPr>
                <w:rFonts w:ascii="Cambria" w:cs="Cambria" w:eastAsia="Cambria" w:hAnsi="Cambria"/>
                <w:sz w:val="20"/>
                <w:szCs w:val="20"/>
              </w:rPr>
              <w:t xml:space="preserve">Cross-validation</w:t>
            </w:r>
          </w:p>
        </w:tc>
        <w:tc>
          <w:tcPr>
            <w:tcW w:type="dxa" w:w="3000"/>
            <w:shd w:fill="FFFFFF" w:val="clear"/>
          </w:tcPr>
          <w:p>
            <w:pPr>
              <w:spacing w:after="40"/>
              <w:jc w:val="center"/>
            </w:pPr>
            <w:r>
              <w:rPr>
                <w:rFonts w:ascii="Cambria" w:cs="Cambria" w:eastAsia="Cambria" w:hAnsi="Cambria"/>
                <w:sz w:val="20"/>
                <w:szCs w:val="20"/>
              </w:rPr>
              <w:t xml:space="preserve">Multi-path agreement</w:t>
            </w:r>
          </w:p>
        </w:tc>
      </w:tr>
      <w:tr>
        <w:tc>
          <w:tcPr>
            <w:tcW w:type="dxa" w:w="3000"/>
            <w:shd w:fill="F5F5F5" w:val="clear"/>
          </w:tcPr>
          <w:p>
            <w:pPr>
              <w:spacing w:after="40"/>
              <w:jc w:val="center"/>
            </w:pPr>
            <w:r>
              <w:rPr>
                <w:rFonts w:ascii="Cambria" w:cs="Cambria" w:eastAsia="Cambria" w:hAnsi="Cambria"/>
                <w:sz w:val="20"/>
                <w:szCs w:val="20"/>
              </w:rPr>
              <w:t xml:space="preserve">Calibration</w:t>
            </w:r>
          </w:p>
        </w:tc>
        <w:tc>
          <w:tcPr>
            <w:tcW w:type="dxa" w:w="3000"/>
            <w:shd w:fill="F5F5F5" w:val="clear"/>
          </w:tcPr>
          <w:p>
            <w:pPr>
              <w:spacing w:after="40"/>
              <w:jc w:val="center"/>
            </w:pPr>
            <w:r>
              <w:rPr>
                <w:rFonts w:ascii="Cambria" w:cs="Cambria" w:eastAsia="Cambria" w:hAnsi="Cambria"/>
                <w:sz w:val="20"/>
                <w:szCs w:val="20"/>
              </w:rPr>
              <w:t xml:space="preserve">Confidence calibration</w:t>
            </w:r>
          </w:p>
        </w:tc>
        <w:tc>
          <w:tcPr>
            <w:tcW w:type="dxa" w:w="3000"/>
            <w:shd w:fill="F5F5F5" w:val="clear"/>
          </w:tcPr>
          <w:p>
            <w:pPr>
              <w:spacing w:after="40"/>
              <w:jc w:val="center"/>
            </w:pPr>
            <w:r>
              <w:rPr>
                <w:rFonts w:ascii="Cambria" w:cs="Cambria" w:eastAsia="Cambria" w:hAnsi="Cambria"/>
                <w:sz w:val="20"/>
                <w:szCs w:val="20"/>
              </w:rPr>
              <w:t xml:space="preserve">Threshold management</w:t>
            </w:r>
          </w:p>
        </w:tc>
      </w:tr>
      <w:tr>
        <w:tc>
          <w:tcPr>
            <w:tcW w:type="dxa" w:w="3000"/>
            <w:shd w:fill="FFFFFF" w:val="clear"/>
          </w:tcPr>
          <w:p>
            <w:pPr>
              <w:spacing w:after="40"/>
              <w:jc w:val="center"/>
            </w:pPr>
            <w:r>
              <w:rPr>
                <w:rFonts w:ascii="Cambria" w:cs="Cambria" w:eastAsia="Cambria" w:hAnsi="Cambria"/>
                <w:sz w:val="20"/>
                <w:szCs w:val="20"/>
              </w:rPr>
              <w:t xml:space="preserve">Heritage</w:t>
            </w:r>
          </w:p>
        </w:tc>
        <w:tc>
          <w:tcPr>
            <w:tcW w:type="dxa" w:w="3000"/>
            <w:shd w:fill="FFFFFF" w:val="clear"/>
          </w:tcPr>
          <w:p>
            <w:pPr>
              <w:spacing w:after="40"/>
              <w:jc w:val="center"/>
            </w:pPr>
            <w:r>
              <w:rPr>
                <w:rFonts w:ascii="Cambria" w:cs="Cambria" w:eastAsia="Cambria" w:hAnsi="Cambria"/>
                <w:sz w:val="20"/>
                <w:szCs w:val="20"/>
              </w:rPr>
              <w:t xml:space="preserve">Provenance tracking</w:t>
            </w:r>
          </w:p>
        </w:tc>
        <w:tc>
          <w:tcPr>
            <w:tcW w:type="dxa" w:w="3000"/>
            <w:shd w:fill="FFFFFF" w:val="clear"/>
          </w:tcPr>
          <w:p>
            <w:pPr>
              <w:spacing w:after="40"/>
              <w:jc w:val="center"/>
            </w:pPr>
            <w:r>
              <w:rPr>
                <w:rFonts w:ascii="Cambria" w:cs="Cambria" w:eastAsia="Cambria" w:hAnsi="Cambria"/>
                <w:sz w:val="20"/>
                <w:szCs w:val="20"/>
              </w:rPr>
              <w:t xml:space="preserve">Audit chain integrity</w:t>
            </w:r>
          </w:p>
        </w:tc>
      </w:tr>
    </w:tbl>
    <w:p>
      <w:pPr>
        <w:pStyle w:val="Heading1"/>
        <w:spacing w:after="160" w:before="400"/>
      </w:pPr>
      <w:r>
        <w:rPr>
          <w:rFonts w:ascii="Calibri" w:cs="Calibri" w:eastAsia="Calibri" w:hAnsi="Calibri"/>
          <w:b/>
          <w:bCs/>
          <w:color w:val="1a1a2e"/>
          <w:sz w:val="32"/>
          <w:szCs w:val="32"/>
        </w:rPr>
        <w:t xml:space="preserve">6. Comparative Analysis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1a1a2e" w:val="clear"/>
            <w:vAlign w:val="center"/>
          </w:tcPr>
          <w:p>
            <w:pPr>
              <w:spacing w:after="40"/>
              <w:jc w:val="center"/>
            </w:pPr>
            <w:r>
              <w:rPr>
                <w:rFonts w:ascii="Calibri" w:cs="Calibri" w:eastAsia="Calibri" w:hAnsi="Calibri"/>
                <w:b/>
                <w:bCs/>
                <w:color w:val="FFFFFF"/>
                <w:sz w:val="20"/>
                <w:szCs w:val="20"/>
              </w:rPr>
              <w:t xml:space="preserve">Capability</w:t>
            </w:r>
          </w:p>
        </w:tc>
        <w:tc>
          <w:tcPr>
            <w:tcW w:type="dxa" w:w="2250"/>
            <w:shd w:fill="1a1a2e" w:val="clear"/>
            <w:vAlign w:val="center"/>
          </w:tcPr>
          <w:p>
            <w:pPr>
              <w:spacing w:after="40"/>
              <w:jc w:val="center"/>
            </w:pPr>
            <w:r>
              <w:rPr>
                <w:rFonts w:ascii="Calibri" w:cs="Calibri" w:eastAsia="Calibri" w:hAnsi="Calibri"/>
                <w:b/>
                <w:bCs/>
                <w:color w:val="FFFFFF"/>
                <w:sz w:val="20"/>
                <w:szCs w:val="20"/>
              </w:rPr>
              <w:t xml:space="preserve">Traditional Notary</w:t>
            </w:r>
          </w:p>
        </w:tc>
        <w:tc>
          <w:tcPr>
            <w:tcW w:type="dxa" w:w="2250"/>
            <w:shd w:fill="1a1a2e" w:val="clear"/>
            <w:vAlign w:val="center"/>
          </w:tcPr>
          <w:p>
            <w:pPr>
              <w:spacing w:after="40"/>
              <w:jc w:val="center"/>
            </w:pPr>
            <w:r>
              <w:rPr>
                <w:rFonts w:ascii="Calibri" w:cs="Calibri" w:eastAsia="Calibri" w:hAnsi="Calibri"/>
                <w:b/>
                <w:bCs/>
                <w:color w:val="FFFFFF"/>
                <w:sz w:val="20"/>
                <w:szCs w:val="20"/>
              </w:rPr>
              <w:t xml:space="preserve">Blockchain-Only</w:t>
            </w:r>
          </w:p>
        </w:tc>
        <w:tc>
          <w:tcPr>
            <w:tcW w:type="dxa" w:w="2250"/>
            <w:shd w:fill="1a1a2e" w:val="clear"/>
            <w:vAlign w:val="center"/>
          </w:tcPr>
          <w:p>
            <w:pPr>
              <w:spacing w:after="40"/>
              <w:jc w:val="center"/>
            </w:pPr>
            <w:r>
              <w:rPr>
                <w:rFonts w:ascii="Calibri" w:cs="Calibri" w:eastAsia="Calibri" w:hAnsi="Calibri"/>
                <w:b/>
                <w:bCs/>
                <w:color w:val="FFFFFF"/>
                <w:sz w:val="20"/>
                <w:szCs w:val="20"/>
              </w:rPr>
              <w:t xml:space="preserve">Semantic Notarization</w:t>
            </w:r>
          </w:p>
        </w:tc>
      </w:tr>
      <w:tr>
        <w:tc>
          <w:tcPr>
            <w:tcW w:type="dxa" w:w="2250"/>
            <w:shd w:fill="F5F5F5" w:val="clear"/>
          </w:tcPr>
          <w:p>
            <w:pPr>
              <w:spacing w:after="40"/>
              <w:jc w:val="center"/>
            </w:pPr>
            <w:r>
              <w:rPr>
                <w:rFonts w:ascii="Cambria" w:cs="Cambria" w:eastAsia="Cambria" w:hAnsi="Cambria"/>
                <w:sz w:val="20"/>
                <w:szCs w:val="20"/>
              </w:rPr>
              <w:t xml:space="preserve">Certifies existence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Certifies authorship</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r>
        <w:tc>
          <w:tcPr>
            <w:tcW w:type="dxa" w:w="2250"/>
            <w:shd w:fill="F5F5F5" w:val="clear"/>
          </w:tcPr>
          <w:p>
            <w:pPr>
              <w:spacing w:after="40"/>
              <w:jc w:val="center"/>
            </w:pPr>
            <w:r>
              <w:rPr>
                <w:rFonts w:ascii="Cambria" w:cs="Cambria" w:eastAsia="Cambria" w:hAnsi="Cambria"/>
                <w:sz w:val="20"/>
                <w:szCs w:val="20"/>
              </w:rPr>
              <w:t xml:space="preserve">Certifies meaning</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Certifies intention</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r>
        <w:tc>
          <w:tcPr>
            <w:tcW w:type="dxa" w:w="2250"/>
            <w:shd w:fill="F5F5F5" w:val="clear"/>
          </w:tcPr>
          <w:p>
            <w:pPr>
              <w:spacing w:after="40"/>
              <w:jc w:val="center"/>
            </w:pPr>
            <w:r>
              <w:rPr>
                <w:rFonts w:ascii="Cambria" w:cs="Cambria" w:eastAsia="Cambria" w:hAnsi="Cambria"/>
                <w:sz w:val="20"/>
                <w:szCs w:val="20"/>
              </w:rPr>
              <w:t xml:space="preserve">Immutable record</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Verifiable by anyone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r>
        <w:tc>
          <w:tcPr>
            <w:tcW w:type="dxa" w:w="2250"/>
            <w:shd w:fill="F5F5F5" w:val="clear"/>
          </w:tcPr>
          <w:p>
            <w:pPr>
              <w:spacing w:after="40"/>
              <w:jc w:val="center"/>
            </w:pPr>
            <w:r>
              <w:rPr>
                <w:rFonts w:ascii="Cambria" w:cs="Cambria" w:eastAsia="Cambria" w:hAnsi="Cambria"/>
                <w:sz w:val="20"/>
                <w:szCs w:val="20"/>
              </w:rPr>
              <w:t xml:space="preserve">Semantic invariance check</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Anti-confabulation</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r>
        <w:tc>
          <w:tcPr>
            <w:tcW w:type="dxa" w:w="2250"/>
            <w:shd w:fill="F5F5F5" w:val="clear"/>
          </w:tcPr>
          <w:p>
            <w:pPr>
              <w:spacing w:after="40"/>
              <w:jc w:val="center"/>
            </w:pPr>
            <w:r>
              <w:rPr>
                <w:rFonts w:ascii="Cambria" w:cs="Cambria" w:eastAsia="Cambria" w:hAnsi="Cambria"/>
                <w:sz w:val="20"/>
                <w:szCs w:val="20"/>
              </w:rPr>
              <w:t xml:space="preserve">Requires trusted third party</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Under 5 seconds</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r>
        <w:tc>
          <w:tcPr>
            <w:tcW w:type="dxa" w:w="2250"/>
            <w:shd w:fill="F5F5F5" w:val="clear"/>
          </w:tcPr>
          <w:p>
            <w:pPr>
              <w:spacing w:after="40"/>
              <w:jc w:val="center"/>
            </w:pPr>
            <w:r>
              <w:rPr>
                <w:rFonts w:ascii="Cambria" w:cs="Cambria" w:eastAsia="Cambria" w:hAnsi="Cambria"/>
                <w:sz w:val="20"/>
                <w:szCs w:val="20"/>
              </w:rPr>
              <w:t xml:space="preserve">GDPR compliant</w:t>
            </w:r>
          </w:p>
        </w:tc>
        <w:tc>
          <w:tcPr>
            <w:tcW w:type="dxa" w:w="2250"/>
            <w:shd w:fill="F5F5F5" w:val="clear"/>
          </w:tcPr>
          <w:p>
            <w:pPr>
              <w:spacing w:after="40"/>
              <w:jc w:val="center"/>
            </w:pPr>
            <w:r>
              <w:rPr>
                <w:rFonts w:ascii="Cambria" w:cs="Cambria" w:eastAsia="Cambria" w:hAnsi="Cambria"/>
                <w:sz w:val="20"/>
                <w:szCs w:val="20"/>
              </w:rPr>
              <w:t xml:space="preserve">Partial</w:t>
            </w:r>
          </w:p>
        </w:tc>
        <w:tc>
          <w:tcPr>
            <w:tcW w:type="dxa" w:w="2250"/>
            <w:shd w:fill="F5F5F5" w:val="clear"/>
          </w:tcPr>
          <w:p>
            <w:pPr>
              <w:spacing w:after="40"/>
              <w:jc w:val="center"/>
            </w:pPr>
            <w:r>
              <w:rPr>
                <w:rFonts w:ascii="Cambria" w:cs="Cambria" w:eastAsia="Cambria" w:hAnsi="Cambria"/>
                <w:sz w:val="20"/>
                <w:szCs w:val="20"/>
              </w:rPr>
              <w:t xml:space="preserve">Partial</w:t>
            </w:r>
          </w:p>
        </w:tc>
        <w:tc>
          <w:tcPr>
            <w:tcW w:type="dxa" w:w="2250"/>
            <w:shd w:fill="F5F5F5" w:val="clear"/>
          </w:tcPr>
          <w:p>
            <w:pPr>
              <w:spacing w:after="40"/>
              <w:jc w:val="center"/>
            </w:pPr>
            <w:r>
              <w:rPr>
                <w:rFonts w:ascii="Cambria" w:cs="Cambria" w:eastAsia="Cambria" w:hAnsi="Cambria"/>
                <w:sz w:val="20"/>
                <w:szCs w:val="20"/>
              </w:rPr>
              <w:t xml:space="preserve">✓</w:t>
            </w:r>
          </w:p>
        </w:tc>
      </w:tr>
      <w:tr>
        <w:tc>
          <w:tcPr>
            <w:tcW w:type="dxa" w:w="2250"/>
            <w:shd w:fill="FFFFFF" w:val="clear"/>
          </w:tcPr>
          <w:p>
            <w:pPr>
              <w:spacing w:after="40"/>
              <w:jc w:val="center"/>
            </w:pPr>
            <w:r>
              <w:rPr>
                <w:rFonts w:ascii="Cambria" w:cs="Cambria" w:eastAsia="Cambria" w:hAnsi="Cambria"/>
                <w:sz w:val="20"/>
                <w:szCs w:val="20"/>
              </w:rPr>
              <w:t xml:space="preserve">EU AI Act ready</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c>
          <w:tcPr>
            <w:tcW w:type="dxa" w:w="2250"/>
            <w:shd w:fill="FFFFFF" w:val="clear"/>
          </w:tcPr>
          <w:p>
            <w:pPr>
              <w:spacing w:after="40"/>
              <w:jc w:val="center"/>
            </w:pPr>
            <w:r>
              <w:rPr>
                <w:rFonts w:ascii="Cambria" w:cs="Cambria" w:eastAsia="Cambria" w:hAnsi="Cambria"/>
                <w:sz w:val="20"/>
                <w:szCs w:val="20"/>
              </w:rPr>
              <w:t xml:space="preserve">✓</w:t>
            </w:r>
          </w:p>
        </w:tc>
      </w:tr>
    </w:tbl>
    <w:p>
      <w:pPr>
        <w:pStyle w:val="Heading1"/>
        <w:spacing w:after="160" w:before="400"/>
      </w:pPr>
      <w:r>
        <w:rPr>
          <w:rFonts w:ascii="Calibri" w:cs="Calibri" w:eastAsia="Calibri" w:hAnsi="Calibri"/>
          <w:b/>
          <w:bCs/>
          <w:color w:val="1a1a2e"/>
          <w:sz w:val="32"/>
          <w:szCs w:val="32"/>
        </w:rPr>
        <w:t xml:space="preserve">7. Regulatory Alignment: EU AI Act</w:t>
      </w:r>
    </w:p>
    <w:p>
      <w:pPr>
        <w:spacing w:after="180" w:before="0" w:line="300"/>
        <w:jc w:val="both"/>
      </w:pPr>
      <w:r>
        <w:rPr>
          <w:rFonts w:ascii="Cambria" w:cs="Cambria" w:eastAsia="Cambria" w:hAnsi="Cambria"/>
          <w:i w:val="false"/>
          <w:iCs w:val="false"/>
          <w:sz w:val="22"/>
          <w:szCs w:val="22"/>
        </w:rPr>
        <w:t xml:space="preserve">The EU Artificial Intelligence Act (Regulation 2024/1689) introduces transparency obligations for AI-generated content. Semantic Notarization directly addresses several requirements: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Article 50 (Transparency for AI-generated content):</w:t>
      </w:r>
      <w:r>
        <w:rPr>
          <w:rFonts w:ascii="Cambria" w:cs="Cambria" w:eastAsia="Cambria" w:hAnsi="Cambria"/>
          <w:sz w:val="22"/>
          <w:szCs w:val="22"/>
        </w:rPr>
        <w:t xml:space="preserve"> AmiStampAI provides traceability of human intention behind AI-generated outputs.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Article 14 (Human oversight):</w:t>
      </w:r>
      <w:r>
        <w:rPr>
          <w:rFonts w:ascii="Cambria" w:cs="Cambria" w:eastAsia="Cambria" w:hAnsi="Cambria"/>
          <w:sz w:val="22"/>
          <w:szCs w:val="22"/>
        </w:rPr>
        <w:t xml:space="preserve"> Every stamp requires explicit human action: declaring meaning and intention, then triggering the signature. No automated stamping occurs.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Recital 134 (Provenance tracking):</w:t>
      </w:r>
      <w:r>
        <w:rPr>
          <w:rFonts w:ascii="Cambria" w:cs="Cambria" w:eastAsia="Cambria" w:hAnsi="Cambria"/>
          <w:sz w:val="22"/>
          <w:szCs w:val="22"/>
        </w:rPr>
        <w:t xml:space="preserve"> The verification chain provides complete provenance from human intention through AI generation to certified output.</w:t>
      </w:r>
    </w:p>
    <w:p>
      <w:pPr>
        <w:spacing w:after="180" w:before="0" w:line="300"/>
        <w:jc w:val="both"/>
      </w:pPr>
      <w:r>
        <w:rPr>
          <w:rFonts w:ascii="Cambria" w:cs="Cambria" w:eastAsia="Cambria" w:hAnsi="Cambria"/>
          <w:i w:val="false"/>
          <w:iCs w:val="false"/>
          <w:sz w:val="22"/>
          <w:szCs w:val="22"/>
        </w:rPr>
        <w:t xml:space="preserve">By certifying not just that AI-generated content exists, but what the human intended it to mean and why it was created, Semantic Notarization provides the transparency layer that the EU AI Act envisions but does not prescribe technically.</w:t>
      </w:r>
    </w:p>
    <w:p>
      <w:pPr>
        <w:pStyle w:val="Heading1"/>
        <w:spacing w:after="160" w:before="400"/>
      </w:pPr>
      <w:r>
        <w:rPr>
          <w:rFonts w:ascii="Calibri" w:cs="Calibri" w:eastAsia="Calibri" w:hAnsi="Calibri"/>
          <w:b/>
          <w:bCs/>
          <w:color w:val="1a1a2e"/>
          <w:sz w:val="32"/>
          <w:szCs w:val="32"/>
        </w:rPr>
        <w:t xml:space="preserve">8. Applications</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Intellectual Property:</w:t>
      </w:r>
      <w:r>
        <w:rPr>
          <w:rFonts w:ascii="Cambria" w:cs="Cambria" w:eastAsia="Cambria" w:hAnsi="Cambria"/>
          <w:sz w:val="22"/>
          <w:szCs w:val="22"/>
        </w:rPr>
        <w:t xml:space="preserve"> Stamp research, code, or inventions with declared purpose before publication. Provable prior art with declared intention.</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Legal Declarations:</w:t>
      </w:r>
      <w:r>
        <w:rPr>
          <w:rFonts w:ascii="Cambria" w:cs="Cambria" w:eastAsia="Cambria" w:hAnsi="Cambria"/>
          <w:sz w:val="22"/>
          <w:szCs w:val="22"/>
        </w:rPr>
        <w:t xml:space="preserve"> Contracts, NDAs, consent forms — stamp not just the text, but what each party intends by signing.</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AI-Generated Content:</w:t>
      </w:r>
      <w:r>
        <w:rPr>
          <w:rFonts w:ascii="Cambria" w:cs="Cambria" w:eastAsia="Cambria" w:hAnsi="Cambria"/>
          <w:sz w:val="22"/>
          <w:szCs w:val="22"/>
        </w:rPr>
        <w:t xml:space="preserve"> When AI creates something, stamp the human intention behind the prompt. EU AI Act transparency, built in.</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Academic Research:</w:t>
      </w:r>
      <w:r>
        <w:rPr>
          <w:rFonts w:ascii="Cambria" w:cs="Cambria" w:eastAsia="Cambria" w:hAnsi="Cambria"/>
          <w:sz w:val="22"/>
          <w:szCs w:val="22"/>
        </w:rPr>
        <w:t xml:space="preserve"> Certify the meaning and purpose of research before peer review. Timestamp + intention = stronger provenance claim.</w:t>
      </w:r>
    </w:p>
    <w:p>
      <w:pPr>
        <w:pStyle w:val="ListParagraph"/>
        <w:numPr>
          <w:ilvl w:val="0"/>
          <w:numId w:val="2"/>
        </w:numPr>
        <w:spacing w:after="100" w:line="280"/>
      </w:pPr>
      <w:r>
        <w:rPr>
          <w:rFonts w:ascii="Cambria" w:cs="Cambria" w:eastAsia="Cambria" w:hAnsi="Cambria"/>
          <w:sz w:val="22"/>
          <w:szCs w:val="22"/>
        </w:rPr>
        <w:t xml:space="preserve"/>
      </w:r>
      <w:r>
        <w:rPr>
          <w:rFonts w:ascii="Cambria" w:cs="Cambria" w:eastAsia="Cambria" w:hAnsi="Cambria"/>
          <w:b/>
          <w:bCs/>
          <w:sz w:val="22"/>
          <w:szCs w:val="22"/>
        </w:rPr>
        <w:t xml:space="preserve">Cross-Language Certification:</w:t>
      </w:r>
      <w:r>
        <w:rPr>
          <w:rFonts w:ascii="Cambria" w:cs="Cambria" w:eastAsia="Cambria" w:hAnsi="Cambria"/>
          <w:sz w:val="22"/>
          <w:szCs w:val="22"/>
        </w:rPr>
        <w:t xml:space="preserve"> Verify that translated documents preserve semantic invariance through embedding space comparison.</w:t>
      </w:r>
    </w:p>
    <w:p>
      <w:pPr>
        <w:pStyle w:val="Heading1"/>
        <w:spacing w:after="160" w:before="400"/>
      </w:pPr>
      <w:r>
        <w:rPr>
          <w:rFonts w:ascii="Calibri" w:cs="Calibri" w:eastAsia="Calibri" w:hAnsi="Calibri"/>
          <w:b/>
          <w:bCs/>
          <w:color w:val="1a1a2e"/>
          <w:sz w:val="32"/>
          <w:szCs w:val="32"/>
        </w:rPr>
        <w:t xml:space="preserve">9. Discussion</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Limitations.</w:t>
      </w:r>
      <w:r>
        <w:rPr>
          <w:rFonts w:ascii="Cambria" w:cs="Cambria" w:eastAsia="Cambria" w:hAnsi="Cambria"/>
          <w:i w:val="false"/>
          <w:iCs w:val="false"/>
          <w:sz w:val="22"/>
          <w:szCs w:val="22"/>
        </w:rPr>
        <w:t xml:space="preserve"> The internal semantic layer depends on the quality of the underlying language model's representations. Semantic hashing is approximate by nature; the threshold ε for semantic invariance must be calibrated per domain. Blockchain anchoring on Tezos Ghostnet (testnet) does not carry the finality guarantees of mainnet operations.</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Philosophical Implications.</w:t>
      </w:r>
      <w:r>
        <w:rPr>
          <w:rFonts w:ascii="Cambria" w:cs="Cambria" w:eastAsia="Cambria" w:hAnsi="Cambria"/>
          <w:i w:val="false"/>
          <w:iCs w:val="false"/>
          <w:sz w:val="22"/>
          <w:szCs w:val="22"/>
        </w:rPr>
        <w:t xml:space="preserve"> The concept of notarizing meaning raises fundamental questions. Can meaning be reduced to a vector? We argue it cannot, but it can be </w:t>
      </w:r>
      <w:r>
        <w:rPr>
          <w:rFonts w:ascii="Cambria" w:cs="Cambria" w:eastAsia="Cambria" w:hAnsi="Cambria"/>
          <w:b/>
          <w:bCs/>
          <w:sz w:val="22"/>
          <w:szCs w:val="22"/>
        </w:rPr>
        <w:t xml:space="preserve">approximated</w:t>
      </w:r>
      <w:r>
        <w:rPr>
          <w:rFonts w:ascii="Cambria" w:cs="Cambria" w:eastAsia="Cambria" w:hAnsi="Cambria"/>
          <w:i w:val="false"/>
          <w:iCs w:val="false"/>
          <w:sz w:val="22"/>
          <w:szCs w:val="22"/>
        </w:rPr>
        <w:t xml:space="preserve"> sufficiently for practical certification. The human declaration of meaning is itself the ground truth; the system certifies that this declaration was made and has not been altered, not that the declaration is ontologically correct.</w:t>
      </w:r>
    </w:p>
    <w:p>
      <w:pPr>
        <w:spacing w:after="180" w:before="0" w:line="300"/>
        <w:jc w:val="both"/>
      </w:pPr>
      <w:r>
        <w:rPr>
          <w:rFonts w:ascii="Cambria" w:cs="Cambria" w:eastAsia="Cambria" w:hAnsi="Cambria"/>
          <w:i w:val="false"/>
          <w:iCs w:val="false"/>
          <w:sz w:val="22"/>
          <w:szCs w:val="22"/>
        </w:rPr>
        <w:t xml:space="preserve"/>
      </w:r>
      <w:r>
        <w:rPr>
          <w:rFonts w:ascii="Cambria" w:cs="Cambria" w:eastAsia="Cambria" w:hAnsi="Cambria"/>
          <w:b/>
          <w:bCs/>
          <w:sz w:val="22"/>
          <w:szCs w:val="22"/>
        </w:rPr>
        <w:t xml:space="preserve">The Human Anchor.</w:t>
      </w:r>
      <w:r>
        <w:rPr>
          <w:rFonts w:ascii="Cambria" w:cs="Cambria" w:eastAsia="Cambria" w:hAnsi="Cambria"/>
          <w:i w:val="false"/>
          <w:iCs w:val="false"/>
          <w:sz w:val="22"/>
          <w:szCs w:val="22"/>
        </w:rPr>
        <w:t xml:space="preserve"> A critical design principle of this architecture is that </w:t>
      </w:r>
      <w:r>
        <w:rPr>
          <w:rFonts w:ascii="Cambria" w:cs="Cambria" w:eastAsia="Cambria" w:hAnsi="Cambria"/>
          <w:b/>
          <w:bCs/>
          <w:sz w:val="22"/>
          <w:szCs w:val="22"/>
        </w:rPr>
        <w:t xml:space="preserve">humans remain the anchor</w:t>
      </w:r>
      <w:r>
        <w:rPr>
          <w:rFonts w:ascii="Cambria" w:cs="Cambria" w:eastAsia="Cambria" w:hAnsi="Cambria"/>
          <w:i w:val="false"/>
          <w:iCs w:val="false"/>
          <w:sz w:val="22"/>
          <w:szCs w:val="22"/>
        </w:rPr>
        <w:t xml:space="preserve">. The system does not autonomously determine meaning or intention; it certifies human declarations about meaning and intention. This is not a limitation but a feature: in the absence of a human anchor, AI systems lose their referential grounding.</w:t>
      </w:r>
    </w:p>
    <w:p>
      <w:pPr>
        <w:pStyle w:val="Heading1"/>
        <w:spacing w:after="160" w:before="400"/>
      </w:pPr>
      <w:r>
        <w:rPr>
          <w:rFonts w:ascii="Calibri" w:cs="Calibri" w:eastAsia="Calibri" w:hAnsi="Calibri"/>
          <w:b/>
          <w:bCs/>
          <w:color w:val="1a1a2e"/>
          <w:sz w:val="32"/>
          <w:szCs w:val="32"/>
        </w:rPr>
        <w:t xml:space="preserve">10. Conclusion</w:t>
      </w:r>
    </w:p>
    <w:p>
      <w:pPr>
        <w:spacing w:after="180" w:before="0" w:line="300"/>
        <w:jc w:val="both"/>
      </w:pPr>
      <w:r>
        <w:rPr>
          <w:rFonts w:ascii="Cambria" w:cs="Cambria" w:eastAsia="Cambria" w:hAnsi="Cambria"/>
          <w:i w:val="false"/>
          <w:iCs w:val="false"/>
          <w:sz w:val="22"/>
          <w:szCs w:val="22"/>
        </w:rPr>
        <w:t xml:space="preserve">This paper presented Semantic Notarization, a dual-layer architecture that extends document certification beyond existence and authorship to include meaning and intention. By combining internal model-level semantic verification (embedding space projections, attention-based intent extraction, KL divergence anti-confabulation) with external cryptographic certification (ECDSA P-256, SHA-256, Tezos blockchain), the system creates a complete, auditable chain from human intention to immutable proof.</w:t>
      </w:r>
    </w:p>
    <w:p>
      <w:pPr>
        <w:spacing w:after="180" w:before="0" w:line="300"/>
        <w:jc w:val="both"/>
      </w:pPr>
      <w:r>
        <w:rPr>
          <w:rFonts w:ascii="Cambria" w:cs="Cambria" w:eastAsia="Cambria" w:hAnsi="Cambria"/>
          <w:i w:val="false"/>
          <w:iCs w:val="false"/>
          <w:sz w:val="22"/>
          <w:szCs w:val="22"/>
        </w:rPr>
        <w:t xml:space="preserve">The implementation is deployed as AmiStampAI (amistampai.com), part of the ami* SaaS ecosystem developed under the BRIDGRAI research initiative. The system has been built over 3.5 years of independent bootstrapped research with zero external funding, driven by the conviction that certifying meaning and intention — not just existence — is the missing layer in digital content authentication.</w:t>
      </w:r>
    </w:p>
    <w:p>
      <w:pPr>
        <w:spacing w:after="180" w:before="0" w:line="300"/>
        <w:jc w:val="both"/>
      </w:pPr>
      <w:r>
        <w:rPr>
          <w:rFonts w:ascii="Cambria" w:cs="Cambria" w:eastAsia="Cambria" w:hAnsi="Cambria"/>
          <w:i w:val="false"/>
          <w:iCs w:val="false"/>
          <w:sz w:val="22"/>
          <w:szCs w:val="22"/>
        </w:rPr>
        <w:t xml:space="preserve">No one else has both layers together. The mathematical foundation exists in transformer models. The cryptographic infrastructure exists in blockchain systems. </w:t>
      </w:r>
      <w:r>
        <w:rPr>
          <w:rFonts w:ascii="Cambria" w:cs="Cambria" w:eastAsia="Cambria" w:hAnsi="Cambria"/>
          <w:b/>
          <w:bCs/>
          <w:sz w:val="22"/>
          <w:szCs w:val="22"/>
        </w:rPr>
        <w:t xml:space="preserve">Semantic Notarization is the bridge.</w:t>
      </w:r>
      <w:r>
        <w:rPr>
          <w:rFonts w:ascii="Cambria" w:cs="Cambria" w:eastAsia="Cambria" w:hAnsi="Cambria"/>
          <w:i w:val="false"/>
          <w:iCs w:val="false"/>
          <w:sz w:val="22"/>
          <w:szCs w:val="22"/>
        </w:rPr>
        <w:t xml:space="preserve"/>
      </w:r>
    </w:p>
    <w:p>
      <w:pPr>
        <w:pBdr>
          <w:bottom w:val="single" w:color="CCCCCC" w:sz="1" w:space="8"/>
        </w:pBdr>
        <w:spacing w:after="200" w:before="200"/>
      </w:pPr>
    </w:p>
    <w:p>
      <w:pPr>
        <w:pStyle w:val="Heading1"/>
        <w:spacing w:after="160" w:before="400"/>
      </w:pPr>
      <w:r>
        <w:rPr>
          <w:rFonts w:ascii="Calibri" w:cs="Calibri" w:eastAsia="Calibri" w:hAnsi="Calibri"/>
          <w:b/>
          <w:bCs/>
          <w:color w:val="1a1a2e"/>
          <w:sz w:val="32"/>
          <w:szCs w:val="32"/>
        </w:rPr>
        <w:t xml:space="preserve">References</w:t>
      </w:r>
    </w:p>
    <w:p>
      <w:pPr>
        <w:spacing w:after="100" w:before="0" w:line="300"/>
        <w:jc w:val="both"/>
      </w:pPr>
      <w:r>
        <w:rPr>
          <w:rFonts w:ascii="Cambria" w:cs="Cambria" w:eastAsia="Cambria" w:hAnsi="Cambria"/>
          <w:i w:val="false"/>
          <w:iCs w:val="false"/>
          <w:sz w:val="22"/>
          <w:szCs w:val="22"/>
        </w:rPr>
        <w:t xml:space="preserve">[1] Vaswani, A., Shazeer, N., Parmar, N., et al. (2017). Attention Is All You Need. Advances in Neural Information Processing Systems, 30.</w:t>
      </w:r>
    </w:p>
    <w:p>
      <w:pPr>
        <w:spacing w:after="100" w:before="0" w:line="300"/>
        <w:jc w:val="both"/>
      </w:pPr>
      <w:r>
        <w:rPr>
          <w:rFonts w:ascii="Cambria" w:cs="Cambria" w:eastAsia="Cambria" w:hAnsi="Cambria"/>
          <w:i w:val="false"/>
          <w:iCs w:val="false"/>
          <w:sz w:val="22"/>
          <w:szCs w:val="22"/>
        </w:rPr>
        <w:t xml:space="preserve">[2] Nakamoto, S. (2008). Bitcoin: A Peer-to-Peer Electronic Cash System.</w:t>
      </w:r>
    </w:p>
    <w:p>
      <w:pPr>
        <w:spacing w:after="100" w:before="0" w:line="300"/>
        <w:jc w:val="both"/>
      </w:pPr>
      <w:r>
        <w:rPr>
          <w:rFonts w:ascii="Cambria" w:cs="Cambria" w:eastAsia="Cambria" w:hAnsi="Cambria"/>
          <w:i w:val="false"/>
          <w:iCs w:val="false"/>
          <w:sz w:val="22"/>
          <w:szCs w:val="22"/>
        </w:rPr>
        <w:t xml:space="preserve">[3] Goodkind, A., Rosenberg, J., &amp; Rivlin, O. (2023). Tezos: A Self-Amending Crypto-Ledger. Tezos Foundation.</w:t>
      </w:r>
    </w:p>
    <w:p>
      <w:pPr>
        <w:spacing w:after="100" w:before="0" w:line="300"/>
        <w:jc w:val="both"/>
      </w:pPr>
      <w:r>
        <w:rPr>
          <w:rFonts w:ascii="Cambria" w:cs="Cambria" w:eastAsia="Cambria" w:hAnsi="Cambria"/>
          <w:i w:val="false"/>
          <w:iCs w:val="false"/>
          <w:sz w:val="22"/>
          <w:szCs w:val="22"/>
        </w:rPr>
        <w:t xml:space="preserve">[4] European Parliament and Council. (2024). Regulation (EU) 2024/1689 (AI Act). Official Journal of the European Union.</w:t>
      </w:r>
    </w:p>
    <w:p>
      <w:pPr>
        <w:spacing w:after="100" w:before="0" w:line="300"/>
        <w:jc w:val="both"/>
      </w:pPr>
      <w:r>
        <w:rPr>
          <w:rFonts w:ascii="Cambria" w:cs="Cambria" w:eastAsia="Cambria" w:hAnsi="Cambria"/>
          <w:i w:val="false"/>
          <w:iCs w:val="false"/>
          <w:sz w:val="22"/>
          <w:szCs w:val="22"/>
        </w:rPr>
        <w:t xml:space="preserve">[5] Devlin, J., Chang, M., Lee, K., &amp; Toutanova, K. (2019). BERT: Pre-training of Deep Bidirectional Transformers. NAACL-HLT.</w:t>
      </w:r>
    </w:p>
    <w:p>
      <w:pPr>
        <w:spacing w:after="100" w:before="0" w:line="300"/>
        <w:jc w:val="both"/>
      </w:pPr>
      <w:r>
        <w:rPr>
          <w:rFonts w:ascii="Cambria" w:cs="Cambria" w:eastAsia="Cambria" w:hAnsi="Cambria"/>
          <w:i w:val="false"/>
          <w:iCs w:val="false"/>
          <w:sz w:val="22"/>
          <w:szCs w:val="22"/>
        </w:rPr>
        <w:t xml:space="preserve">[6] Reimers, N. &amp; Gurevych, I. (2019). Sentence-BERT: Sentence Embeddings using Siamese BERT-Networks. EMNLP.</w:t>
      </w:r>
    </w:p>
    <w:p>
      <w:pPr>
        <w:spacing w:after="100" w:before="0" w:line="300"/>
        <w:jc w:val="both"/>
      </w:pPr>
      <w:r>
        <w:rPr>
          <w:rFonts w:ascii="Cambria" w:cs="Cambria" w:eastAsia="Cambria" w:hAnsi="Cambria"/>
          <w:i w:val="false"/>
          <w:iCs w:val="false"/>
          <w:sz w:val="22"/>
          <w:szCs w:val="22"/>
        </w:rPr>
        <w:t xml:space="preserve">[7] Rosca, M. (2026). P6 Adler Ghost Peak: Bifurcation Analysis. Zenodo. DOI: 10.5281/zenodo.</w:t>
      </w:r>
    </w:p>
    <w:p>
      <w:pPr>
        <w:spacing w:after="100" w:before="0" w:line="300"/>
        <w:jc w:val="both"/>
      </w:pPr>
      <w:r>
        <w:rPr>
          <w:rFonts w:ascii="Cambria" w:cs="Cambria" w:eastAsia="Cambria" w:hAnsi="Cambria"/>
          <w:i w:val="false"/>
          <w:iCs w:val="false"/>
          <w:sz w:val="22"/>
          <w:szCs w:val="22"/>
        </w:rPr>
        <w:t xml:space="preserve">[8] BRIDGRAI. (2026). BRIDGRAI A2A Platform: Agent-to-Agent Semantic Verification. Technical Report.</w:t>
      </w:r>
    </w:p>
    <w:p>
      <w:pPr>
        <w:spacing w:after="100" w:before="0" w:line="300"/>
        <w:jc w:val="both"/>
      </w:pPr>
      <w:r>
        <w:rPr>
          <w:rFonts w:ascii="Cambria" w:cs="Cambria" w:eastAsia="Cambria" w:hAnsi="Cambria"/>
          <w:i w:val="false"/>
          <w:iCs w:val="false"/>
          <w:sz w:val="22"/>
          <w:szCs w:val="22"/>
        </w:rPr>
        <w:t xml:space="preserve">[9] W3C. (2017). Web Cryptography API. W3C Recommendation.</w:t>
      </w:r>
    </w:p>
    <w:p>
      <w:pPr>
        <w:spacing w:after="100" w:before="0" w:line="300"/>
        <w:jc w:val="both"/>
      </w:pPr>
      <w:r>
        <w:rPr>
          <w:rFonts w:ascii="Cambria" w:cs="Cambria" w:eastAsia="Cambria" w:hAnsi="Cambria"/>
          <w:i w:val="false"/>
          <w:iCs w:val="false"/>
          <w:sz w:val="22"/>
          <w:szCs w:val="22"/>
        </w:rPr>
        <w:t xml:space="preserve">[10] Kullback, S. &amp; Leibler, R.A. (1951). On Information and Sufficiency. Annals of Mathematical Statistics, 22(1), 79–86.</w:t>
      </w:r>
    </w:p>
    <w:p>
      <w:pPr>
        <w:pBdr>
          <w:bottom w:val="single" w:color="CCCCCC" w:sz="1" w:space="8"/>
        </w:pBdr>
        <w:spacing w:after="200" w:before="200"/>
      </w:pPr>
    </w:p>
    <w:p>
      <w:pPr>
        <w:spacing w:after="180" w:before="0" w:line="300"/>
        <w:jc w:val="both"/>
      </w:pPr>
      <w:r>
        <w:rPr>
          <w:rFonts w:ascii="Cambria" w:cs="Cambria" w:eastAsia="Cambria" w:hAnsi="Cambria"/>
          <w:i/>
          <w:iCs/>
          <w:color w:val="555555"/>
          <w:sz w:val="22"/>
          <w:szCs w:val="22"/>
        </w:rPr>
        <w:t xml:space="preserve">This paper documents research conducted independently by Mihai Rosca under the BRIDGRAI initiative, Timisoara, Romania. 3.5 years bootstrapped, zero external funding. All code is publicly available at github.com/amidigiart. IP protection: 106 assets hashed on Tezos blockchain (2026-07-25).</w:t>
      </w:r>
    </w:p>
    <w:p>
      <w:pPr>
        <w:spacing w:after="180" w:before="0" w:line="300"/>
        <w:jc w:val="both"/>
      </w:pPr>
      <w:r>
        <w:rPr>
          <w:rFonts w:ascii="Cambria" w:cs="Cambria" w:eastAsia="Cambria" w:hAnsi="Cambria"/>
          <w:i/>
          <w:iCs/>
          <w:color w:val="555555"/>
          <w:sz w:val="22"/>
          <w:szCs w:val="22"/>
        </w:rPr>
        <w:t xml:space="preserve">Correspondence: mihairosca1982@gmail.com</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6"/>
        <w:szCs w:val="16"/>
      </w:rPr>
      <w:t xml:space="preserve">BRIDGRAI / ami* Ecosystem  |  </w:t>
    </w:r>
    <w:r>
      <w:rPr>
        <w:rFonts w:ascii="Calibri" w:cs="Calibri" w:eastAsia="Calibri" w:hAnsi="Calibri"/>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Calibri" w:cs="Calibri" w:eastAsia="Calibri" w:hAnsi="Calibri"/>
        <w:i/>
        <w:iCs/>
        <w:color w:val="555555"/>
        <w:sz w:val="16"/>
        <w:szCs w:val="16"/>
      </w:rPr>
      <w:t xml:space="preserve">Semantic Notarization: Dual-Layer Architecture for Meaning &amp; Intention Certification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line="300"/>
    </w:pPr>
    <w:rPr>
      <w:rFonts w:ascii="Cambria" w:cs="Cambria" w:eastAsia="Cambria" w:hAnsi="Cambri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2026-08-02T07:14:24.093Z</dcterms:created>
  <dcterms:modified xsi:type="dcterms:W3CDTF">2026-08-02T07:14:24.095Z</dcterms:modified>
</cp:coreProperties>
</file>

<file path=docProps/custom.xml><?xml version="1.0" encoding="utf-8"?>
<Properties xmlns="http://schemas.openxmlformats.org/officeDocument/2006/custom-properties" xmlns:vt="http://schemas.openxmlformats.org/officeDocument/2006/docPropsVTypes"/>
</file>