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p>
    <w:p>
      <w:pPr>
        <w:spacing w:after="40"/>
        <w:jc w:val="left"/>
      </w:pPr>
      <w:r>
        <w:rPr>
          <w:rFonts w:ascii="Calibri" w:cs="Calibri" w:eastAsia="Calibri" w:hAnsi="Calibri"/>
          <w:b/>
          <w:bCs/>
          <w:color w:val="1a1a2e"/>
          <w:spacing w:val="120"/>
          <w:sz w:val="44"/>
          <w:szCs w:val="44"/>
        </w:rPr>
        <w:t xml:space="preserve">MIHAI ROȘCA</w:t>
      </w:r>
    </w:p>
    <w:p>
      <w:pPr>
        <w:spacing w:after="20"/>
      </w:pPr>
      <w:r>
        <w:rPr>
          <w:rFonts w:ascii="Calibri" w:cs="Calibri" w:eastAsia="Calibri" w:hAnsi="Calibri"/>
          <w:color w:val="2d5f8a"/>
          <w:sz w:val="20"/>
          <w:szCs w:val="20"/>
        </w:rPr>
        <w:t xml:space="preserve">Independent Researcher  ·  AI Systems Architect  ·  Educator</w:t>
      </w:r>
    </w:p>
    <w:p>
      <w:pPr>
        <w:spacing w:after="20"/>
      </w:pPr>
      <w:r>
        <w:rPr>
          <w:rFonts w:ascii="Cambria" w:cs="Cambria" w:eastAsia="Cambria" w:hAnsi="Cambria"/>
          <w:color w:val="555555"/>
          <w:sz w:val="18"/>
          <w:szCs w:val="18"/>
        </w:rPr>
        <w:t xml:space="preserve">mihairosca1982@gmail.com</w:t>
      </w:r>
      <w:r>
        <w:rPr>
          <w:rFonts w:ascii="Cambria" w:cs="Cambria" w:eastAsia="Cambria" w:hAnsi="Cambria"/>
          <w:color w:val="888888"/>
          <w:sz w:val="18"/>
          <w:szCs w:val="18"/>
        </w:rPr>
        <w:t xml:space="preserve">  ·  </w:t>
      </w:r>
      <w:r>
        <w:rPr>
          <w:rFonts w:ascii="Cambria" w:cs="Cambria" w:eastAsia="Cambria" w:hAnsi="Cambria"/>
          <w:color w:val="555555"/>
          <w:sz w:val="18"/>
          <w:szCs w:val="18"/>
        </w:rPr>
        <w:t xml:space="preserve">Spiru Haret, Brăila, Romania</w:t>
      </w:r>
      <w:r>
        <w:rPr>
          <w:rFonts w:ascii="Cambria" w:cs="Cambria" w:eastAsia="Cambria" w:hAnsi="Cambria"/>
          <w:color w:val="888888"/>
          <w:sz w:val="18"/>
          <w:szCs w:val="18"/>
        </w:rPr>
        <w:t xml:space="preserve">  ·  </w:t>
      </w:r>
      <w:r>
        <w:rPr>
          <w:rFonts w:ascii="Cambria" w:cs="Cambria" w:eastAsia="Cambria" w:hAnsi="Cambria"/>
          <w:color w:val="555555"/>
          <w:sz w:val="18"/>
          <w:szCs w:val="18"/>
        </w:rPr>
        <w:t xml:space="preserve">ORCID: 0009-0001-1422-6209</w:t>
      </w:r>
    </w:p>
    <w:p>
      <w:pPr>
        <w:spacing w:after="20"/>
      </w:pPr>
      <w:r>
        <w:rPr>
          <w:rFonts w:ascii="Cambria" w:cs="Cambria" w:eastAsia="Cambria" w:hAnsi="Cambria"/>
          <w:color w:val="2d5f8a"/>
          <w:sz w:val="18"/>
          <w:szCs w:val="18"/>
        </w:rPr>
        <w:t xml:space="preserve">github.com/amidigiart</w:t>
      </w:r>
      <w:r>
        <w:rPr>
          <w:rFonts w:ascii="Cambria" w:cs="Cambria" w:eastAsia="Cambria" w:hAnsi="Cambria"/>
          <w:color w:val="888888"/>
          <w:sz w:val="18"/>
          <w:szCs w:val="18"/>
        </w:rPr>
        <w:t xml:space="preserve">  ·  </w:t>
      </w:r>
      <w:r>
        <w:rPr>
          <w:rFonts w:ascii="Cambria" w:cs="Cambria" w:eastAsia="Cambria" w:hAnsi="Cambria"/>
          <w:color w:val="2d5f8a"/>
          <w:sz w:val="18"/>
          <w:szCs w:val="18"/>
        </w:rPr>
        <w:t xml:space="preserve">amiecosystems.com</w:t>
      </w:r>
      <w:r>
        <w:rPr>
          <w:rFonts w:ascii="Cambria" w:cs="Cambria" w:eastAsia="Cambria" w:hAnsi="Cambria"/>
          <w:color w:val="888888"/>
          <w:sz w:val="18"/>
          <w:szCs w:val="18"/>
        </w:rPr>
        <w:t xml:space="preserve">  ·  </w:t>
      </w:r>
      <w:r>
        <w:rPr>
          <w:rFonts w:ascii="Cambria" w:cs="Cambria" w:eastAsia="Cambria" w:hAnsi="Cambria"/>
          <w:color w:val="2d5f8a"/>
          <w:sz w:val="18"/>
          <w:szCs w:val="18"/>
        </w:rPr>
        <w:t xml:space="preserve">bridgrai.com</w:t>
      </w:r>
    </w:p>
    <w:p>
      <w:pPr>
        <w:pBdr>
          <w:bottom w:val="single" w:color="2d5f8a" w:sz="4" w:space="0"/>
        </w:pBdr>
        <w:spacing w:after="120" w:before="60"/>
      </w:pPr>
    </w:p>
    <w:p>
      <w:pPr>
        <w:pBdr>
          <w:bottom w:val="single" w:color="2d5f8a" w:sz="2" w:space="4"/>
        </w:pBdr>
        <w:spacing w:after="100" w:before="320"/>
      </w:pPr>
      <w:r>
        <w:rPr>
          <w:rFonts w:ascii="Calibri" w:cs="Calibri" w:eastAsia="Calibri" w:hAnsi="Calibri"/>
          <w:b/>
          <w:bCs/>
          <w:color w:val="2d5f8a"/>
          <w:spacing w:val="80"/>
          <w:sz w:val="22"/>
          <w:szCs w:val="22"/>
        </w:rPr>
        <w:t xml:space="preserve">PROFIL</w:t>
      </w:r>
    </w:p>
    <w:p>
      <w:pPr>
        <w:spacing w:after="80" w:line="270"/>
        <w:jc w:val="left"/>
      </w:pPr>
      <w:r>
        <w:rPr>
          <w:rFonts w:ascii="Cambria" w:cs="Cambria" w:eastAsia="Cambria" w:hAnsi="Cambria"/>
          <w:color w:val="333333"/>
          <w:sz w:val="19"/>
          <w:szCs w:val="19"/>
        </w:rPr>
        <w:t xml:space="preserve">Cercetător independent și arhitect de sisteme AI cu 3,5 ani de dezvoltare bootstrapped (zero finanțare externă). Fondator al ecosistemului ami*/BRIDGRAI: 22 de produse, 106 active IP protejate blockchain, 8 agenți A2A, motoare proprietare de anti-confabulație și detecție manipulare. Fost educator cu definitivat, cu experiență directă în lucrul cu sute de copii și cu persoane vulnerabile. 12 ani de muncă și studiu în ~10 țări europene.</w:t>
      </w:r>
    </w:p>
    <w:p>
      <w:pPr>
        <w:pBdr>
          <w:bottom w:val="single" w:color="2d5f8a" w:sz="2" w:space="4"/>
        </w:pBdr>
        <w:spacing w:after="100" w:before="320"/>
      </w:pPr>
      <w:r>
        <w:rPr>
          <w:rFonts w:ascii="Calibri" w:cs="Calibri" w:eastAsia="Calibri" w:hAnsi="Calibri"/>
          <w:b/>
          <w:bCs/>
          <w:color w:val="2d5f8a"/>
          <w:spacing w:val="80"/>
          <w:sz w:val="22"/>
          <w:szCs w:val="22"/>
        </w:rPr>
        <w:t xml:space="preserve">COMPETENȚE NUCLEU</w:t>
      </w:r>
    </w:p>
    <w:p>
      <w:pPr>
        <w:spacing w:after="60" w:before="180"/>
      </w:pPr>
      <w:r>
        <w:rPr>
          <w:rFonts w:ascii="Calibri" w:cs="Calibri" w:eastAsia="Calibri" w:hAnsi="Calibri"/>
          <w:b/>
          <w:bCs/>
          <w:color w:val="1a1a2e"/>
          <w:sz w:val="20"/>
          <w:szCs w:val="20"/>
        </w:rPr>
        <w:t xml:space="preserve">Cercetare AI și Inginerie de Sisteme</w:t>
      </w:r>
    </w:p>
    <w:p>
      <w:pPr>
        <w:pStyle w:val="ListParagraph"/>
        <w:numPr>
          <w:ilvl w:val="0"/>
          <w:numId w:val="2"/>
        </w:numPr>
        <w:spacing w:after="60" w:line="270"/>
      </w:pPr>
      <w:r>
        <w:rPr>
          <w:rFonts w:ascii="Cambria" w:cs="Cambria" w:eastAsia="Cambria" w:hAnsi="Cambria"/>
          <w:color w:val="333333"/>
          <w:sz w:val="19"/>
          <w:szCs w:val="19"/>
        </w:rPr>
        <w:t xml:space="preserve">Proiectarea framework-ului </w:t>
      </w:r>
      <w:r>
        <w:rPr>
          <w:rFonts w:ascii="Cambria" w:cs="Cambria" w:eastAsia="Cambria" w:hAnsi="Cambria"/>
          <w:b/>
          <w:bCs/>
          <w:color w:val="333333"/>
          <w:sz w:val="19"/>
          <w:szCs w:val="19"/>
        </w:rPr>
        <w:t xml:space="preserve">REAI</w:t>
      </w:r>
      <w:r>
        <w:rPr>
          <w:rFonts w:ascii="Cambria" w:cs="Cambria" w:eastAsia="Cambria" w:hAnsi="Cambria"/>
          <w:color w:val="333333"/>
          <w:sz w:val="19"/>
          <w:szCs w:val="19"/>
        </w:rPr>
        <w:t xml:space="preserve"> (Resonance Engine for Adaptive Intelligence): model Kuramoto + filtru Kalman + control dinamic α/β, v0.7.2, 102/102 teste</w:t>
      </w:r>
    </w:p>
    <w:p>
      <w:pPr>
        <w:pStyle w:val="ListParagraph"/>
        <w:numPr>
          <w:ilvl w:val="0"/>
          <w:numId w:val="2"/>
        </w:numPr>
        <w:spacing w:after="60" w:line="270"/>
      </w:pPr>
      <w:r>
        <w:rPr>
          <w:rFonts w:ascii="Cambria" w:cs="Cambria" w:eastAsia="Cambria" w:hAnsi="Cambria"/>
          <w:color w:val="333333"/>
          <w:sz w:val="19"/>
          <w:szCs w:val="19"/>
        </w:rPr>
        <w:t xml:space="preserve">Arhitectura </w:t>
      </w:r>
      <w:r>
        <w:rPr>
          <w:rFonts w:ascii="Cambria" w:cs="Cambria" w:eastAsia="Cambria" w:hAnsi="Cambria"/>
          <w:b/>
          <w:bCs/>
          <w:color w:val="333333"/>
          <w:sz w:val="19"/>
          <w:szCs w:val="19"/>
        </w:rPr>
        <w:t xml:space="preserve">dual-engine anti-confabulație</w:t>
      </w:r>
      <w:r>
        <w:rPr>
          <w:rFonts w:ascii="Cambria" w:cs="Cambria" w:eastAsia="Cambria" w:hAnsi="Cambria"/>
          <w:color w:val="333333"/>
          <w:sz w:val="19"/>
          <w:szCs w:val="19"/>
        </w:rPr>
        <w:t xml:space="preserve">: două modele AI independente care trebuie să concure — dezacord = refuz onest, nu răspuns fabricat</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Truth Vector Engine (TVE)</w:t>
      </w:r>
      <w:r>
        <w:rPr>
          <w:rFonts w:ascii="Cambria" w:cs="Cambria" w:eastAsia="Cambria" w:hAnsi="Cambria"/>
          <w:color w:val="333333"/>
          <w:sz w:val="19"/>
          <w:szCs w:val="19"/>
        </w:rPr>
        <w:t xml:space="preserve">: motor de detecție manipulare pe 6 axe (emoțional, logic, autoritate, urgență, social, framing) — 32/32 teste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Notar de Sens și Intenție</w:t>
      </w:r>
      <w:r>
        <w:rPr>
          <w:rFonts w:ascii="Cambria" w:cs="Cambria" w:eastAsia="Cambria" w:hAnsi="Cambria"/>
          <w:color w:val="333333"/>
          <w:sz w:val="19"/>
          <w:szCs w:val="19"/>
        </w:rPr>
        <w:t xml:space="preserve">: certificare tridimensională (existență + sens + intenție) — concept original, nimeni altcineva nu are stack-ul complet</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AmiGibberishAI</w:t>
      </w:r>
      <w:r>
        <w:rPr>
          <w:rFonts w:ascii="Cambria" w:cs="Cambria" w:eastAsia="Cambria" w:hAnsi="Cambria"/>
          <w:color w:val="333333"/>
          <w:sz w:val="19"/>
          <w:szCs w:val="19"/>
        </w:rPr>
        <w:t xml:space="preserve">: protocol de comunicare uman-AI cu 32 primitive semantice, gramatică formală EBNF, parser LL(1), Teoremă de Intent-Preservation demonstrată</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AmiStampAI</w:t>
      </w:r>
      <w:r>
        <w:rPr>
          <w:rFonts w:ascii="Cambria" w:cs="Cambria" w:eastAsia="Cambria" w:hAnsi="Cambria"/>
          <w:color w:val="333333"/>
          <w:sz w:val="19"/>
          <w:szCs w:val="19"/>
        </w:rPr>
        <w:t xml:space="preserve">: notarizare digitală cu ECDSA P-256 + SHA-256 + ancorare blockchain Tezos</w:t>
      </w:r>
    </w:p>
    <w:p>
      <w:pPr>
        <w:pStyle w:val="ListParagraph"/>
        <w:numPr>
          <w:ilvl w:val="0"/>
          <w:numId w:val="2"/>
        </w:numPr>
        <w:spacing w:after="60" w:line="270"/>
      </w:pPr>
      <w:r>
        <w:rPr>
          <w:rFonts w:ascii="Cambria" w:cs="Cambria" w:eastAsia="Cambria" w:hAnsi="Cambria"/>
          <w:color w:val="333333"/>
          <w:sz w:val="19"/>
          <w:szCs w:val="19"/>
        </w:rPr>
        <w:t xml:space="preserve">Lucrare academică </w:t>
      </w:r>
      <w:r>
        <w:rPr>
          <w:rFonts w:ascii="Cambria" w:cs="Cambria" w:eastAsia="Cambria" w:hAnsi="Cambria"/>
          <w:b/>
          <w:bCs/>
          <w:color w:val="333333"/>
          <w:sz w:val="19"/>
          <w:szCs w:val="19"/>
        </w:rPr>
        <w:t xml:space="preserve">P6</w:t>
      </w:r>
      <w:r>
        <w:rPr>
          <w:rFonts w:ascii="Cambria" w:cs="Cambria" w:eastAsia="Cambria" w:hAnsi="Cambria"/>
          <w:color w:val="333333"/>
          <w:sz w:val="19"/>
          <w:szCs w:val="19"/>
        </w:rPr>
        <w:t xml:space="preserve"> (ghost peak / bifurcație Adler) publicată cu DOI pe Zenodo (10.5281/zenodo.21269201)</w:t>
      </w:r>
    </w:p>
    <w:p>
      <w:pPr>
        <w:spacing w:after="60" w:before="180"/>
      </w:pPr>
      <w:r>
        <w:rPr>
          <w:rFonts w:ascii="Calibri" w:cs="Calibri" w:eastAsia="Calibri" w:hAnsi="Calibri"/>
          <w:b/>
          <w:bCs/>
          <w:color w:val="1a1a2e"/>
          <w:sz w:val="20"/>
          <w:szCs w:val="20"/>
        </w:rPr>
        <w:t xml:space="preserve">Arhitectură Software și Platforme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BRIDGRAI A2A Platform</w:t>
      </w:r>
      <w:r>
        <w:rPr>
          <w:rFonts w:ascii="Cambria" w:cs="Cambria" w:eastAsia="Cambria" w:hAnsi="Cambria"/>
          <w:color w:val="333333"/>
          <w:sz w:val="19"/>
          <w:szCs w:val="19"/>
        </w:rPr>
        <w:t xml:space="preserve">: 8 agenți (UKBE/CASP/HASN/Sens/ACR/Concordance/Calibration/Heritage), JSON-RPC 2.0, Google A2A spec, 18 teste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UKBE Core</w:t>
      </w:r>
      <w:r>
        <w:rPr>
          <w:rFonts w:ascii="Cambria" w:cs="Cambria" w:eastAsia="Cambria" w:hAnsi="Cambria"/>
          <w:color w:val="333333"/>
          <w:sz w:val="19"/>
          <w:szCs w:val="19"/>
        </w:rPr>
        <w:t xml:space="preserve">: motor open-core (Apache-2.0 + comercial), adaptabil multi-industrie — companion vârstnici, arbitraj B2B, micro-grid energetic, ScaleEngine O(N), pacer copii</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ScaleEngine</w:t>
      </w:r>
      <w:r>
        <w:rPr>
          <w:rFonts w:ascii="Cambria" w:cs="Cambria" w:eastAsia="Cambria" w:hAnsi="Cambria"/>
          <w:color w:val="333333"/>
          <w:sz w:val="19"/>
          <w:szCs w:val="19"/>
        </w:rPr>
        <w:t xml:space="preserve">: motor de producție mean-field O(N) — 36× la N=1000, 349× la N=5000, echivalență exactă (1e⁻⁹/300 pași)</w:t>
      </w:r>
    </w:p>
    <w:p>
      <w:pPr>
        <w:pStyle w:val="ListParagraph"/>
        <w:numPr>
          <w:ilvl w:val="0"/>
          <w:numId w:val="2"/>
        </w:numPr>
        <w:spacing w:after="60" w:line="270"/>
      </w:pPr>
      <w:r>
        <w:rPr>
          <w:rFonts w:ascii="Cambria" w:cs="Cambria" w:eastAsia="Cambria" w:hAnsi="Cambria"/>
          <w:color w:val="333333"/>
          <w:sz w:val="19"/>
          <w:szCs w:val="19"/>
        </w:rPr>
        <w:t xml:space="preserve">Full-stack: </w:t>
      </w:r>
      <w:r>
        <w:rPr>
          <w:rFonts w:ascii="Cambria" w:cs="Cambria" w:eastAsia="Cambria" w:hAnsi="Cambria"/>
          <w:b/>
          <w:bCs/>
          <w:color w:val="333333"/>
          <w:sz w:val="19"/>
          <w:szCs w:val="19"/>
        </w:rPr>
        <w:t xml:space="preserve">Python</w:t>
      </w:r>
      <w:r>
        <w:rPr>
          <w:rFonts w:ascii="Cambria" w:cs="Cambria" w:eastAsia="Cambria" w:hAnsi="Cambria"/>
          <w:color w:val="333333"/>
          <w:sz w:val="19"/>
          <w:szCs w:val="19"/>
        </w:rPr>
        <w:t xml:space="preserve"> (FastAPI, pytest), </w:t>
      </w:r>
      <w:r>
        <w:rPr>
          <w:rFonts w:ascii="Cambria" w:cs="Cambria" w:eastAsia="Cambria" w:hAnsi="Cambria"/>
          <w:b/>
          <w:bCs/>
          <w:color w:val="333333"/>
          <w:sz w:val="19"/>
          <w:szCs w:val="19"/>
        </w:rPr>
        <w:t xml:space="preserve">TypeScript</w:t>
      </w:r>
      <w:r>
        <w:rPr>
          <w:rFonts w:ascii="Cambria" w:cs="Cambria" w:eastAsia="Cambria" w:hAnsi="Cambria"/>
          <w:color w:val="333333"/>
          <w:sz w:val="19"/>
          <w:szCs w:val="19"/>
        </w:rPr>
        <w:t xml:space="preserve">, </w:t>
      </w:r>
      <w:r>
        <w:rPr>
          <w:rFonts w:ascii="Cambria" w:cs="Cambria" w:eastAsia="Cambria" w:hAnsi="Cambria"/>
          <w:b/>
          <w:bCs/>
          <w:color w:val="333333"/>
          <w:sz w:val="19"/>
          <w:szCs w:val="19"/>
        </w:rPr>
        <w:t xml:space="preserve">HTML/CSS/JS</w:t>
      </w:r>
      <w:r>
        <w:rPr>
          <w:rFonts w:ascii="Cambria" w:cs="Cambria" w:eastAsia="Cambria" w:hAnsi="Cambria"/>
          <w:color w:val="333333"/>
          <w:sz w:val="19"/>
          <w:szCs w:val="19"/>
        </w:rPr>
        <w:t xml:space="preserve">, </w:t>
      </w:r>
      <w:r>
        <w:rPr>
          <w:rFonts w:ascii="Cambria" w:cs="Cambria" w:eastAsia="Cambria" w:hAnsi="Cambria"/>
          <w:b/>
          <w:bCs/>
          <w:color w:val="333333"/>
          <w:sz w:val="19"/>
          <w:szCs w:val="19"/>
        </w:rPr>
        <w:t xml:space="preserve">Docker</w:t>
      </w:r>
      <w:r>
        <w:rPr>
          <w:rFonts w:ascii="Cambria" w:cs="Cambria" w:eastAsia="Cambria" w:hAnsi="Cambria"/>
          <w:color w:val="333333"/>
          <w:sz w:val="19"/>
          <w:szCs w:val="19"/>
        </w:rPr>
        <w:t xml:space="preserve">, </w:t>
      </w:r>
      <w:r>
        <w:rPr>
          <w:rFonts w:ascii="Cambria" w:cs="Cambria" w:eastAsia="Cambria" w:hAnsi="Cambria"/>
          <w:b/>
          <w:bCs/>
          <w:color w:val="333333"/>
          <w:sz w:val="19"/>
          <w:szCs w:val="19"/>
        </w:rPr>
        <w:t xml:space="preserve">Caddy</w:t>
      </w:r>
      <w:r>
        <w:rPr>
          <w:rFonts w:ascii="Cambria" w:cs="Cambria" w:eastAsia="Cambria" w:hAnsi="Cambria"/>
          <w:color w:val="333333"/>
          <w:sz w:val="19"/>
          <w:szCs w:val="19"/>
        </w:rPr>
        <w:t xml:space="preserve">, </w:t>
      </w:r>
      <w:r>
        <w:rPr>
          <w:rFonts w:ascii="Cambria" w:cs="Cambria" w:eastAsia="Cambria" w:hAnsi="Cambria"/>
          <w:b/>
          <w:bCs/>
          <w:color w:val="333333"/>
          <w:sz w:val="19"/>
          <w:szCs w:val="19"/>
        </w:rPr>
        <w:t xml:space="preserve">GitHub Actions/Pages</w:t>
      </w:r>
      <w:r>
        <w:rPr>
          <w:rFonts w:ascii="Cambria" w:cs="Cambria" w:eastAsia="Cambria" w:hAnsi="Cambria"/>
          <w:color w:val="333333"/>
          <w:sz w:val="19"/>
          <w:szCs w:val="19"/>
        </w:rPr>
        <w:t xml:space="preserve"/>
      </w:r>
    </w:p>
    <w:p>
      <w:pPr>
        <w:pStyle w:val="ListParagraph"/>
        <w:numPr>
          <w:ilvl w:val="0"/>
          <w:numId w:val="2"/>
        </w:numPr>
        <w:spacing w:after="60" w:line="270"/>
      </w:pPr>
      <w:r>
        <w:rPr>
          <w:rFonts w:ascii="Cambria" w:cs="Cambria" w:eastAsia="Cambria" w:hAnsi="Cambria"/>
          <w:color w:val="333333"/>
          <w:sz w:val="19"/>
          <w:szCs w:val="19"/>
        </w:rPr>
        <w:t xml:space="preserve">Blockchain: </w:t>
      </w:r>
      <w:r>
        <w:rPr>
          <w:rFonts w:ascii="Cambria" w:cs="Cambria" w:eastAsia="Cambria" w:hAnsi="Cambria"/>
          <w:b/>
          <w:bCs/>
          <w:color w:val="333333"/>
          <w:sz w:val="19"/>
          <w:szCs w:val="19"/>
        </w:rPr>
        <w:t xml:space="preserve">Tezos</w:t>
      </w:r>
      <w:r>
        <w:rPr>
          <w:rFonts w:ascii="Cambria" w:cs="Cambria" w:eastAsia="Cambria" w:hAnsi="Cambria"/>
          <w:color w:val="333333"/>
          <w:sz w:val="19"/>
          <w:szCs w:val="19"/>
        </w:rPr>
        <w:t xml:space="preserve"> (smart contracts, ancorare Merkle), </w:t>
      </w:r>
      <w:r>
        <w:rPr>
          <w:rFonts w:ascii="Cambria" w:cs="Cambria" w:eastAsia="Cambria" w:hAnsi="Cambria"/>
          <w:b/>
          <w:bCs/>
          <w:color w:val="333333"/>
          <w:sz w:val="19"/>
          <w:szCs w:val="19"/>
        </w:rPr>
        <w:t xml:space="preserve">SHA-256</w:t>
      </w:r>
      <w:r>
        <w:rPr>
          <w:rFonts w:ascii="Cambria" w:cs="Cambria" w:eastAsia="Cambria" w:hAnsi="Cambria"/>
          <w:color w:val="333333"/>
          <w:sz w:val="19"/>
          <w:szCs w:val="19"/>
        </w:rPr>
        <w:t xml:space="preserve">, </w:t>
      </w:r>
      <w:r>
        <w:rPr>
          <w:rFonts w:ascii="Cambria" w:cs="Cambria" w:eastAsia="Cambria" w:hAnsi="Cambria"/>
          <w:b/>
          <w:bCs/>
          <w:color w:val="333333"/>
          <w:sz w:val="19"/>
          <w:szCs w:val="19"/>
        </w:rPr>
        <w:t xml:space="preserve">ECDSA P-256</w:t>
      </w:r>
      <w:r>
        <w:rPr>
          <w:rFonts w:ascii="Cambria" w:cs="Cambria" w:eastAsia="Cambria" w:hAnsi="Cambria"/>
          <w:color w:val="333333"/>
          <w:sz w:val="19"/>
          <w:szCs w:val="19"/>
        </w:rPr>
        <w:t xml:space="preserve">, </w:t>
      </w:r>
      <w:r>
        <w:rPr>
          <w:rFonts w:ascii="Cambria" w:cs="Cambria" w:eastAsia="Cambria" w:hAnsi="Cambria"/>
          <w:b/>
          <w:bCs/>
          <w:color w:val="333333"/>
          <w:sz w:val="19"/>
          <w:szCs w:val="19"/>
        </w:rPr>
        <w:t xml:space="preserve">Dilithium-5</w:t>
      </w:r>
      <w:r>
        <w:rPr>
          <w:rFonts w:ascii="Cambria" w:cs="Cambria" w:eastAsia="Cambria" w:hAnsi="Cambria"/>
          <w:color w:val="333333"/>
          <w:sz w:val="19"/>
          <w:szCs w:val="19"/>
        </w:rPr>
        <w:t xml:space="preserve"> (post-quantum)</w:t>
      </w:r>
    </w:p>
    <w:p>
      <w:pPr>
        <w:pStyle w:val="ListParagraph"/>
        <w:numPr>
          <w:ilvl w:val="0"/>
          <w:numId w:val="2"/>
        </w:numPr>
        <w:spacing w:after="60" w:line="270"/>
      </w:pPr>
      <w:r>
        <w:rPr>
          <w:rFonts w:ascii="Cambria" w:cs="Cambria" w:eastAsia="Cambria" w:hAnsi="Cambria"/>
          <w:color w:val="333333"/>
          <w:sz w:val="19"/>
          <w:szCs w:val="19"/>
        </w:rPr>
        <w:t xml:space="preserve">Gestionarea unui portofoliu de </w:t>
      </w:r>
      <w:r>
        <w:rPr>
          <w:rFonts w:ascii="Cambria" w:cs="Cambria" w:eastAsia="Cambria" w:hAnsi="Cambria"/>
          <w:b/>
          <w:bCs/>
          <w:color w:val="333333"/>
          <w:sz w:val="19"/>
          <w:szCs w:val="19"/>
        </w:rPr>
        <w:t xml:space="preserve">22 produse SaaS</w:t>
      </w:r>
      <w:r>
        <w:rPr>
          <w:rFonts w:ascii="Cambria" w:cs="Cambria" w:eastAsia="Cambria" w:hAnsi="Cambria"/>
          <w:color w:val="333333"/>
          <w:sz w:val="19"/>
          <w:szCs w:val="19"/>
        </w:rPr>
        <w:t xml:space="preserve"> cu integrări Stripe, DNS Cloudflare, HTTPS, landing pages multilingve</w:t>
      </w:r>
    </w:p>
    <w:p>
      <w:pPr>
        <w:spacing w:after="60" w:before="180"/>
      </w:pPr>
      <w:r>
        <w:rPr>
          <w:rFonts w:ascii="Calibri" w:cs="Calibri" w:eastAsia="Calibri" w:hAnsi="Calibri"/>
          <w:b/>
          <w:bCs/>
          <w:color w:val="1a1a2e"/>
          <w:sz w:val="20"/>
          <w:szCs w:val="20"/>
        </w:rPr>
        <w:t xml:space="preserve">Educație, Pedagogie și Îngrijire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Definitivat</w:t>
      </w:r>
      <w:r>
        <w:rPr>
          <w:rFonts w:ascii="Cambria" w:cs="Cambria" w:eastAsia="Cambria" w:hAnsi="Cambria"/>
          <w:color w:val="333333"/>
          <w:sz w:val="19"/>
          <w:szCs w:val="19"/>
        </w:rPr>
        <w:t xml:space="preserve"> în învățământ — Universitatea Ovidius, Constanța</w:t>
      </w:r>
    </w:p>
    <w:p>
      <w:pPr>
        <w:pStyle w:val="ListParagraph"/>
        <w:numPr>
          <w:ilvl w:val="0"/>
          <w:numId w:val="2"/>
        </w:numPr>
        <w:spacing w:after="60" w:line="270"/>
      </w:pPr>
      <w:r>
        <w:rPr>
          <w:rFonts w:ascii="Cambria" w:cs="Cambria" w:eastAsia="Cambria" w:hAnsi="Cambria"/>
          <w:color w:val="333333"/>
          <w:sz w:val="19"/>
          <w:szCs w:val="19"/>
        </w:rPr>
        <w:t xml:space="preserve">Experiență directă cu </w:t>
      </w:r>
      <w:r>
        <w:rPr>
          <w:rFonts w:ascii="Cambria" w:cs="Cambria" w:eastAsia="Cambria" w:hAnsi="Cambria"/>
          <w:b/>
          <w:bCs/>
          <w:color w:val="333333"/>
          <w:sz w:val="19"/>
          <w:szCs w:val="19"/>
        </w:rPr>
        <w:t xml:space="preserve">sute de copii</w:t>
      </w:r>
      <w:r>
        <w:rPr>
          <w:rFonts w:ascii="Cambria" w:cs="Cambria" w:eastAsia="Cambria" w:hAnsi="Cambria"/>
          <w:color w:val="333333"/>
          <w:sz w:val="19"/>
          <w:szCs w:val="19"/>
        </w:rPr>
        <w:t xml:space="preserve"> în context educativ formal</w:t>
      </w:r>
    </w:p>
    <w:p>
      <w:pPr>
        <w:pStyle w:val="ListParagraph"/>
        <w:numPr>
          <w:ilvl w:val="0"/>
          <w:numId w:val="2"/>
        </w:numPr>
        <w:spacing w:after="60" w:line="270"/>
      </w:pPr>
      <w:r>
        <w:rPr>
          <w:rFonts w:ascii="Cambria" w:cs="Cambria" w:eastAsia="Cambria" w:hAnsi="Cambria"/>
          <w:color w:val="333333"/>
          <w:sz w:val="19"/>
          <w:szCs w:val="19"/>
        </w:rPr>
        <w:t xml:space="preserve">Îngrijirea copiilor cu nevoi extreme în UK: copil cu </w:t>
      </w:r>
      <w:r>
        <w:rPr>
          <w:rFonts w:ascii="Cambria" w:cs="Cambria" w:eastAsia="Cambria" w:hAnsi="Cambria"/>
          <w:b/>
          <w:bCs/>
          <w:color w:val="333333"/>
          <w:sz w:val="19"/>
          <w:szCs w:val="19"/>
        </w:rPr>
        <w:t xml:space="preserve">hemisferectomie</w:t>
      </w:r>
      <w:r>
        <w:rPr>
          <w:rFonts w:ascii="Cambria" w:cs="Cambria" w:eastAsia="Cambria" w:hAnsi="Cambria"/>
          <w:color w:val="333333"/>
          <w:sz w:val="19"/>
          <w:szCs w:val="19"/>
        </w:rPr>
        <w:t xml:space="preserve">, copil cu </w:t>
      </w:r>
      <w:r>
        <w:rPr>
          <w:rFonts w:ascii="Cambria" w:cs="Cambria" w:eastAsia="Cambria" w:hAnsi="Cambria"/>
          <w:b/>
          <w:bCs/>
          <w:color w:val="333333"/>
          <w:sz w:val="19"/>
          <w:szCs w:val="19"/>
        </w:rPr>
        <w:t xml:space="preserve">autism</w:t>
      </w:r>
      <w:r>
        <w:rPr>
          <w:rFonts w:ascii="Cambria" w:cs="Cambria" w:eastAsia="Cambria" w:hAnsi="Cambria"/>
          <w:color w:val="333333"/>
          <w:sz w:val="19"/>
          <w:szCs w:val="19"/>
        </w:rPr>
        <w:t xml:space="preserve"> — adaptare continuă, răbdare, comunicare non-verbală</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Pădurea de Cod</w:t>
      </w:r>
      <w:r>
        <w:rPr>
          <w:rFonts w:ascii="Cambria" w:cs="Cambria" w:eastAsia="Cambria" w:hAnsi="Cambria"/>
          <w:color w:val="333333"/>
          <w:sz w:val="19"/>
          <w:szCs w:val="19"/>
        </w:rPr>
        <w:t xml:space="preserve">: 100+ storybook-uri cu psihopedagogie aplicață în programare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KinderAGI</w:t>
      </w:r>
      <w:r>
        <w:rPr>
          <w:rFonts w:ascii="Cambria" w:cs="Cambria" w:eastAsia="Cambria" w:hAnsi="Cambria"/>
          <w:color w:val="333333"/>
          <w:sz w:val="19"/>
          <w:szCs w:val="19"/>
        </w:rPr>
        <w:t xml:space="preserve">: software educativ adaptiv cu </w:t>
      </w:r>
      <w:r>
        <w:rPr>
          <w:rFonts w:ascii="Cambria" w:cs="Cambria" w:eastAsia="Cambria" w:hAnsi="Cambria"/>
          <w:b/>
          <w:bCs/>
          <w:color w:val="333333"/>
          <w:sz w:val="19"/>
          <w:szCs w:val="19"/>
        </w:rPr>
        <w:t xml:space="preserve">anti-dependență</w:t>
      </w:r>
      <w:r>
        <w:rPr>
          <w:rFonts w:ascii="Cambria" w:cs="Cambria" w:eastAsia="Cambria" w:hAnsi="Cambria"/>
          <w:color w:val="333333"/>
          <w:sz w:val="19"/>
          <w:szCs w:val="19"/>
        </w:rPr>
        <w:t xml:space="preserve"> (hard-stop la engagement maxim, zero dark patterns, misiuni offline) — Apache-2.0 pentru auditabilitate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Manualul de Rezonanță</w:t>
      </w:r>
      <w:r>
        <w:rPr>
          <w:rFonts w:ascii="Cambria" w:cs="Cambria" w:eastAsia="Cambria" w:hAnsi="Cambria"/>
          <w:color w:val="333333"/>
          <w:sz w:val="19"/>
          <w:szCs w:val="19"/>
        </w:rPr>
        <w:t xml:space="preserve">: 100+ lecții bazate pe framework-ul REAI</w:t>
      </w:r>
    </w:p>
    <w:p>
      <w:pPr>
        <w:spacing w:after="60" w:before="180"/>
      </w:pPr>
      <w:r>
        <w:rPr>
          <w:rFonts w:ascii="Calibri" w:cs="Calibri" w:eastAsia="Calibri" w:hAnsi="Calibri"/>
          <w:b/>
          <w:bCs/>
          <w:color w:val="1a1a2e"/>
          <w:sz w:val="20"/>
          <w:szCs w:val="20"/>
        </w:rPr>
        <w:t xml:space="preserve">Protecție IP și Conformitate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106 active IP</w:t>
      </w:r>
      <w:r>
        <w:rPr>
          <w:rFonts w:ascii="Cambria" w:cs="Cambria" w:eastAsia="Cambria" w:hAnsi="Cambria"/>
          <w:color w:val="333333"/>
          <w:sz w:val="19"/>
          <w:szCs w:val="19"/>
        </w:rPr>
        <w:t xml:space="preserve"> hash-uite individual pe blockchain (25 iulie 2026) — dovadă imuabilă de anterioritate</w:t>
      </w:r>
    </w:p>
    <w:p>
      <w:pPr>
        <w:pStyle w:val="ListParagraph"/>
        <w:numPr>
          <w:ilvl w:val="0"/>
          <w:numId w:val="2"/>
        </w:numPr>
        <w:spacing w:after="60" w:line="270"/>
      </w:pPr>
      <w:r>
        <w:rPr>
          <w:rFonts w:ascii="Cambria" w:cs="Cambria" w:eastAsia="Cambria" w:hAnsi="Cambria"/>
          <w:color w:val="333333"/>
          <w:sz w:val="19"/>
          <w:szCs w:val="19"/>
        </w:rPr>
        <w:t xml:space="preserve">Arhitectură de licențiere </w:t>
      </w:r>
      <w:r>
        <w:rPr>
          <w:rFonts w:ascii="Cambria" w:cs="Cambria" w:eastAsia="Cambria" w:hAnsi="Cambria"/>
          <w:b/>
          <w:bCs/>
          <w:color w:val="333333"/>
          <w:sz w:val="19"/>
          <w:szCs w:val="19"/>
        </w:rPr>
        <w:t xml:space="preserve">dual</w:t>
      </w:r>
      <w:r>
        <w:rPr>
          <w:rFonts w:ascii="Cambria" w:cs="Cambria" w:eastAsia="Cambria" w:hAnsi="Cambria"/>
          <w:color w:val="333333"/>
          <w:sz w:val="19"/>
          <w:szCs w:val="19"/>
        </w:rPr>
        <w:t xml:space="preserve">: AGPL-3.0 (open, auditabil) + comercial (monetizare) — mecanismul anti-freeride onest</w:t>
      </w:r>
    </w:p>
    <w:p>
      <w:pPr>
        <w:pStyle w:val="ListParagraph"/>
        <w:numPr>
          <w:ilvl w:val="0"/>
          <w:numId w:val="2"/>
        </w:numPr>
        <w:spacing w:after="60" w:line="270"/>
      </w:pPr>
      <w:r>
        <w:rPr>
          <w:rFonts w:ascii="Cambria" w:cs="Cambria" w:eastAsia="Cambria" w:hAnsi="Cambria"/>
          <w:color w:val="333333"/>
          <w:sz w:val="19"/>
          <w:szCs w:val="19"/>
        </w:rPr>
        <w:t xml:space="preserve">Conformitate </w:t>
      </w:r>
      <w:r>
        <w:rPr>
          <w:rFonts w:ascii="Cambria" w:cs="Cambria" w:eastAsia="Cambria" w:hAnsi="Cambria"/>
          <w:b/>
          <w:bCs/>
          <w:color w:val="333333"/>
          <w:sz w:val="19"/>
          <w:szCs w:val="19"/>
        </w:rPr>
        <w:t xml:space="preserve">EU AI Act</w:t>
      </w:r>
      <w:r>
        <w:rPr>
          <w:rFonts w:ascii="Cambria" w:cs="Cambria" w:eastAsia="Cambria" w:hAnsi="Cambria"/>
          <w:color w:val="333333"/>
          <w:sz w:val="19"/>
          <w:szCs w:val="19"/>
        </w:rPr>
        <w:t xml:space="preserve"> (Art. 14, 50, Recital 134), </w:t>
      </w:r>
      <w:r>
        <w:rPr>
          <w:rFonts w:ascii="Cambria" w:cs="Cambria" w:eastAsia="Cambria" w:hAnsi="Cambria"/>
          <w:b/>
          <w:bCs/>
          <w:color w:val="333333"/>
          <w:sz w:val="19"/>
          <w:szCs w:val="19"/>
        </w:rPr>
        <w:t xml:space="preserve">GDPR</w:t>
      </w:r>
      <w:r>
        <w:rPr>
          <w:rFonts w:ascii="Cambria" w:cs="Cambria" w:eastAsia="Cambria" w:hAnsi="Cambria"/>
          <w:color w:val="333333"/>
          <w:sz w:val="19"/>
          <w:szCs w:val="19"/>
        </w:rPr>
        <w:t xml:space="preserve"> (minimizare date, audit log), </w:t>
      </w:r>
      <w:r>
        <w:rPr>
          <w:rFonts w:ascii="Cambria" w:cs="Cambria" w:eastAsia="Cambria" w:hAnsi="Cambria"/>
          <w:b/>
          <w:bCs/>
          <w:color w:val="333333"/>
          <w:sz w:val="19"/>
          <w:szCs w:val="19"/>
        </w:rPr>
        <w:t xml:space="preserve">NIST AI RMF</w:t>
      </w:r>
      <w:r>
        <w:rPr>
          <w:rFonts w:ascii="Cambria" w:cs="Cambria" w:eastAsia="Cambria" w:hAnsi="Cambria"/>
          <w:color w:val="333333"/>
          <w:sz w:val="19"/>
          <w:szCs w:val="19"/>
        </w:rPr>
        <w:t xml:space="preserve"/>
      </w:r>
    </w:p>
    <w:p>
      <w:pPr>
        <w:pStyle w:val="ListParagraph"/>
        <w:numPr>
          <w:ilvl w:val="0"/>
          <w:numId w:val="2"/>
        </w:numPr>
        <w:spacing w:after="60" w:line="270"/>
      </w:pPr>
      <w:r>
        <w:rPr>
          <w:rFonts w:ascii="Cambria" w:cs="Cambria" w:eastAsia="Cambria" w:hAnsi="Cambria"/>
          <w:color w:val="333333"/>
          <w:sz w:val="19"/>
          <w:szCs w:val="19"/>
        </w:rPr>
        <w:t xml:space="preserve">Model de IP strategic: dezvăluire suficientă pentru validare, secretele comerciale sub NDA</w:t>
      </w:r>
    </w:p>
    <w:p>
      <w:pPr>
        <w:spacing w:after="60" w:before="180"/>
      </w:pPr>
      <w:r>
        <w:rPr>
          <w:rFonts w:ascii="Calibri" w:cs="Calibri" w:eastAsia="Calibri" w:hAnsi="Calibri"/>
          <w:b/>
          <w:bCs/>
          <w:color w:val="1a1a2e"/>
          <w:sz w:val="20"/>
          <w:szCs w:val="20"/>
        </w:rPr>
        <w:t xml:space="preserve">Leadership și Antreprenoriat</w:t>
      </w:r>
    </w:p>
    <w:p>
      <w:pPr>
        <w:pStyle w:val="ListParagraph"/>
        <w:numPr>
          <w:ilvl w:val="0"/>
          <w:numId w:val="2"/>
        </w:numPr>
        <w:spacing w:after="60" w:line="270"/>
      </w:pPr>
      <w:r>
        <w:rPr>
          <w:rFonts w:ascii="Cambria" w:cs="Cambria" w:eastAsia="Cambria" w:hAnsi="Cambria"/>
          <w:color w:val="333333"/>
          <w:sz w:val="19"/>
          <w:szCs w:val="19"/>
        </w:rPr>
        <w:t xml:space="preserve">Fondarea și construcția </w:t>
      </w:r>
      <w:r>
        <w:rPr>
          <w:rFonts w:ascii="Cambria" w:cs="Cambria" w:eastAsia="Cambria" w:hAnsi="Cambria"/>
          <w:b/>
          <w:bCs/>
          <w:color w:val="333333"/>
          <w:sz w:val="19"/>
          <w:szCs w:val="19"/>
        </w:rPr>
        <w:t xml:space="preserve">ecosistemului ami</w:t>
      </w:r>
      <w:r>
        <w:rPr>
          <w:rFonts w:ascii="Cambria" w:cs="Cambria" w:eastAsia="Cambria" w:hAnsi="Cambria"/>
          <w:color w:val="333333"/>
          <w:sz w:val="19"/>
          <w:szCs w:val="19"/>
        </w:rPr>
        <w:t xml:space="preserve">* de la zero: 22 produse, 40+ domenii, fără echipă, fără finanțare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3,5 ani de execuție consistentă</w:t>
      </w:r>
      <w:r>
        <w:rPr>
          <w:rFonts w:ascii="Cambria" w:cs="Cambria" w:eastAsia="Cambria" w:hAnsi="Cambria"/>
          <w:color w:val="333333"/>
          <w:sz w:val="19"/>
          <w:szCs w:val="19"/>
        </w:rPr>
        <w:t xml:space="preserve"> fără venit din proiect — reziliență demonstrată, nu declarată</w:t>
      </w:r>
    </w:p>
    <w:p>
      <w:pPr>
        <w:pStyle w:val="ListParagraph"/>
        <w:numPr>
          <w:ilvl w:val="0"/>
          <w:numId w:val="2"/>
        </w:numPr>
        <w:spacing w:after="60" w:line="270"/>
      </w:pPr>
      <w:r>
        <w:rPr>
          <w:rFonts w:ascii="Cambria" w:cs="Cambria" w:eastAsia="Cambria" w:hAnsi="Cambria"/>
          <w:color w:val="333333"/>
          <w:sz w:val="19"/>
          <w:szCs w:val="19"/>
        </w:rPr>
        <w:t xml:space="preserve">Dezvoltare completă pe un </w:t>
      </w:r>
      <w:r>
        <w:rPr>
          <w:rFonts w:ascii="Cambria" w:cs="Cambria" w:eastAsia="Cambria" w:hAnsi="Cambria"/>
          <w:b/>
          <w:bCs/>
          <w:color w:val="333333"/>
          <w:sz w:val="19"/>
          <w:szCs w:val="19"/>
        </w:rPr>
        <w:t xml:space="preserve">Dell Latitude E6540</w:t>
      </w:r>
      <w:r>
        <w:rPr>
          <w:rFonts w:ascii="Cambria" w:cs="Cambria" w:eastAsia="Cambria" w:hAnsi="Cambria"/>
          <w:color w:val="333333"/>
          <w:sz w:val="19"/>
          <w:szCs w:val="19"/>
        </w:rPr>
        <w:t xml:space="preserve"> și </w:t>
      </w:r>
      <w:r>
        <w:rPr>
          <w:rFonts w:ascii="Cambria" w:cs="Cambria" w:eastAsia="Cambria" w:hAnsi="Cambria"/>
          <w:b/>
          <w:bCs/>
          <w:color w:val="333333"/>
          <w:sz w:val="19"/>
          <w:szCs w:val="19"/>
        </w:rPr>
        <w:t xml:space="preserve">Xiaomi Redmi Note 13</w:t>
      </w:r>
      <w:r>
        <w:rPr>
          <w:rFonts w:ascii="Cambria" w:cs="Cambria" w:eastAsia="Cambria" w:hAnsi="Cambria"/>
          <w:color w:val="333333"/>
          <w:sz w:val="19"/>
          <w:szCs w:val="19"/>
        </w:rPr>
        <w:t xml:space="preserve"> — constrângeri transformate în disciplină de inginerie</w:t>
      </w:r>
    </w:p>
    <w:p>
      <w:pPr>
        <w:pStyle w:val="ListParagraph"/>
        <w:numPr>
          <w:ilvl w:val="0"/>
          <w:numId w:val="2"/>
        </w:numPr>
        <w:spacing w:after="60" w:line="270"/>
      </w:pPr>
      <w:r>
        <w:rPr>
          <w:rFonts w:ascii="Cambria" w:cs="Cambria" w:eastAsia="Cambria" w:hAnsi="Cambria"/>
          <w:color w:val="333333"/>
          <w:sz w:val="19"/>
          <w:szCs w:val="19"/>
        </w:rPr>
        <w:t xml:space="preserve">Participare la workshop-uri </w:t>
      </w:r>
      <w:r>
        <w:rPr>
          <w:rFonts w:ascii="Cambria" w:cs="Cambria" w:eastAsia="Cambria" w:hAnsi="Cambria"/>
          <w:b/>
          <w:bCs/>
          <w:color w:val="333333"/>
          <w:sz w:val="19"/>
          <w:szCs w:val="19"/>
        </w:rPr>
        <w:t xml:space="preserve">E³UDRES²</w:t>
      </w:r>
      <w:r>
        <w:rPr>
          <w:rFonts w:ascii="Cambria" w:cs="Cambria" w:eastAsia="Cambria" w:hAnsi="Cambria"/>
          <w:color w:val="333333"/>
          <w:sz w:val="19"/>
          <w:szCs w:val="19"/>
        </w:rPr>
        <w:t xml:space="preserve"> (noiembrie 2024, UPT Timișoara) — rețea academică europeană</w:t>
      </w:r>
    </w:p>
    <w:p>
      <w:pPr>
        <w:pStyle w:val="ListParagraph"/>
        <w:numPr>
          <w:ilvl w:val="0"/>
          <w:numId w:val="2"/>
        </w:numPr>
        <w:spacing w:after="60" w:line="270"/>
      </w:pPr>
      <w:r>
        <w:rPr>
          <w:rFonts w:ascii="Cambria" w:cs="Cambria" w:eastAsia="Cambria" w:hAnsi="Cambria"/>
          <w:color w:val="333333"/>
          <w:sz w:val="19"/>
          <w:szCs w:val="19"/>
        </w:rPr>
        <w:t xml:space="preserve">Pregătirea de </w:t>
      </w:r>
      <w:r>
        <w:rPr>
          <w:rFonts w:ascii="Cambria" w:cs="Cambria" w:eastAsia="Cambria" w:hAnsi="Cambria"/>
          <w:b/>
          <w:bCs/>
          <w:color w:val="333333"/>
          <w:sz w:val="19"/>
          <w:szCs w:val="19"/>
        </w:rPr>
        <w:t xml:space="preserve">rundă seed</w:t>
      </w:r>
      <w:r>
        <w:rPr>
          <w:rFonts w:ascii="Cambria" w:cs="Cambria" w:eastAsia="Cambria" w:hAnsi="Cambria"/>
          <w:color w:val="333333"/>
          <w:sz w:val="19"/>
          <w:szCs w:val="19"/>
        </w:rPr>
        <w:t xml:space="preserve"> (€250K, 10-15% equity) cu memorandum de investiții complet</w:t>
      </w:r>
    </w:p>
    <w:p>
      <w:pPr>
        <w:pBdr>
          <w:bottom w:val="single" w:color="2d5f8a" w:sz="2" w:space="4"/>
        </w:pBdr>
        <w:spacing w:after="100" w:before="320"/>
      </w:pPr>
      <w:r>
        <w:rPr>
          <w:rFonts w:ascii="Calibri" w:cs="Calibri" w:eastAsia="Calibri" w:hAnsi="Calibri"/>
          <w:b/>
          <w:bCs/>
          <w:color w:val="2d5f8a"/>
          <w:spacing w:val="80"/>
          <w:sz w:val="22"/>
          <w:szCs w:val="22"/>
        </w:rPr>
        <w:t xml:space="preserve">LIMBI</w:t>
      </w:r>
    </w:p>
    <w:p>
      <w:pPr>
        <w:spacing w:after="80" w:line="270"/>
        <w:jc w:val="left"/>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Română</w:t>
      </w:r>
      <w:r>
        <w:rPr>
          <w:rFonts w:ascii="Cambria" w:cs="Cambria" w:eastAsia="Cambria" w:hAnsi="Cambria"/>
          <w:color w:val="333333"/>
          <w:sz w:val="19"/>
          <w:szCs w:val="19"/>
        </w:rPr>
        <w:t xml:space="preserve"> — nativă  ·  </w:t>
      </w:r>
      <w:r>
        <w:rPr>
          <w:rFonts w:ascii="Cambria" w:cs="Cambria" w:eastAsia="Cambria" w:hAnsi="Cambria"/>
          <w:b/>
          <w:bCs/>
          <w:color w:val="333333"/>
          <w:sz w:val="19"/>
          <w:szCs w:val="19"/>
        </w:rPr>
        <w:t xml:space="preserve">Engleză</w:t>
      </w:r>
      <w:r>
        <w:rPr>
          <w:rFonts w:ascii="Cambria" w:cs="Cambria" w:eastAsia="Cambria" w:hAnsi="Cambria"/>
          <w:color w:val="333333"/>
          <w:sz w:val="19"/>
          <w:szCs w:val="19"/>
        </w:rPr>
        <w:t xml:space="preserve"> — profesional (UK, 12 ani UE)  ·  </w:t>
      </w:r>
      <w:r>
        <w:rPr>
          <w:rFonts w:ascii="Cambria" w:cs="Cambria" w:eastAsia="Cambria" w:hAnsi="Cambria"/>
          <w:b/>
          <w:bCs/>
          <w:color w:val="333333"/>
          <w:sz w:val="19"/>
          <w:szCs w:val="19"/>
        </w:rPr>
        <w:t xml:space="preserve">Italiană</w:t>
      </w:r>
      <w:r>
        <w:rPr>
          <w:rFonts w:ascii="Cambria" w:cs="Cambria" w:eastAsia="Cambria" w:hAnsi="Cambria"/>
          <w:color w:val="333333"/>
          <w:sz w:val="19"/>
          <w:szCs w:val="19"/>
        </w:rPr>
        <w:t xml:space="preserve"> — profesional (Verona, Bosco Chiesanuova, proiect UE)  ·  </w:t>
      </w:r>
      <w:r>
        <w:rPr>
          <w:rFonts w:ascii="Cambria" w:cs="Cambria" w:eastAsia="Cambria" w:hAnsi="Cambria"/>
          <w:b/>
          <w:bCs/>
          <w:color w:val="333333"/>
          <w:sz w:val="19"/>
          <w:szCs w:val="19"/>
        </w:rPr>
        <w:t xml:space="preserve">Spaniolă</w:t>
      </w:r>
      <w:r>
        <w:rPr>
          <w:rFonts w:ascii="Cambria" w:cs="Cambria" w:eastAsia="Cambria" w:hAnsi="Cambria"/>
          <w:color w:val="333333"/>
          <w:sz w:val="19"/>
          <w:szCs w:val="19"/>
        </w:rPr>
        <w:t xml:space="preserve"> — conversational (Junquera)</w:t>
      </w:r>
    </w:p>
    <w:p>
      <w:pPr>
        <w:pBdr>
          <w:bottom w:val="single" w:color="2d5f8a" w:sz="2" w:space="4"/>
        </w:pBdr>
        <w:spacing w:after="100" w:before="320"/>
      </w:pPr>
      <w:r>
        <w:rPr>
          <w:rFonts w:ascii="Calibri" w:cs="Calibri" w:eastAsia="Calibri" w:hAnsi="Calibri"/>
          <w:b/>
          <w:bCs/>
          <w:color w:val="2d5f8a"/>
          <w:spacing w:val="80"/>
          <w:sz w:val="22"/>
          <w:szCs w:val="22"/>
        </w:rPr>
        <w:t xml:space="preserve">EXPERIENȚĂ INTERNAȚIONALĂ</w:t>
      </w:r>
    </w:p>
    <w:p>
      <w:pPr>
        <w:spacing w:after="60" w:line="270"/>
        <w:jc w:val="left"/>
      </w:pPr>
      <w:r>
        <w:rPr>
          <w:rFonts w:ascii="Cambria" w:cs="Cambria" w:eastAsia="Cambria" w:hAnsi="Cambria"/>
          <w:color w:val="333333"/>
          <w:sz w:val="19"/>
          <w:szCs w:val="19"/>
        </w:rPr>
        <w:t xml:space="preserve">12 ani de muncă, studiu și observație cross-industrie în ~10 țări europene: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Marea Britanie</w:t>
      </w:r>
      <w:r>
        <w:rPr>
          <w:rFonts w:ascii="Cambria" w:cs="Cambria" w:eastAsia="Cambria" w:hAnsi="Cambria"/>
          <w:color w:val="333333"/>
          <w:sz w:val="19"/>
          <w:szCs w:val="19"/>
        </w:rPr>
        <w:t xml:space="preserve">: au pair, îngrijire copii cu nevoi speciale extreme, HAZMAT la crematoriul Spitalului Ipswich</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Italia</w:t>
      </w:r>
      <w:r>
        <w:rPr>
          <w:rFonts w:ascii="Cambria" w:cs="Cambria" w:eastAsia="Cambria" w:hAnsi="Cambria"/>
          <w:color w:val="333333"/>
          <w:sz w:val="19"/>
          <w:szCs w:val="19"/>
        </w:rPr>
        <w:t xml:space="preserve">: Verona, Bosco Chiesanuova — Scuola Apostolica Bertoni, proiect UE, huburi logistice</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Spania</w:t>
      </w:r>
      <w:r>
        <w:rPr>
          <w:rFonts w:ascii="Cambria" w:cs="Cambria" w:eastAsia="Cambria" w:hAnsi="Cambria"/>
          <w:color w:val="333333"/>
          <w:sz w:val="19"/>
          <w:szCs w:val="19"/>
        </w:rPr>
        <w:t xml:space="preserve">: Junquera — muncă în industrie, adaptare culturală</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Austria, Germania, Elveția</w:t>
      </w:r>
      <w:r>
        <w:rPr>
          <w:rFonts w:ascii="Cambria" w:cs="Cambria" w:eastAsia="Cambria" w:hAnsi="Cambria"/>
          <w:color w:val="333333"/>
          <w:sz w:val="19"/>
          <w:szCs w:val="19"/>
        </w:rPr>
        <w:t xml:space="preserve">: observație cross-industrie și studiu</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România</w:t>
      </w:r>
      <w:r>
        <w:rPr>
          <w:rFonts w:ascii="Cambria" w:cs="Cambria" w:eastAsia="Cambria" w:hAnsi="Cambria"/>
          <w:color w:val="333333"/>
          <w:sz w:val="19"/>
          <w:szCs w:val="19"/>
        </w:rPr>
        <w:t xml:space="preserve">: învățământ formal (definitivat), cercetare independentă AI (2022–2026)</w:t>
      </w:r>
    </w:p>
    <w:p>
      <w:pPr>
        <w:pBdr>
          <w:bottom w:val="single" w:color="2d5f8a" w:sz="2" w:space="4"/>
        </w:pBdr>
        <w:spacing w:after="100" w:before="320"/>
      </w:pPr>
      <w:r>
        <w:rPr>
          <w:rFonts w:ascii="Calibri" w:cs="Calibri" w:eastAsia="Calibri" w:hAnsi="Calibri"/>
          <w:b/>
          <w:bCs/>
          <w:color w:val="2d5f8a"/>
          <w:spacing w:val="80"/>
          <w:sz w:val="22"/>
          <w:szCs w:val="22"/>
        </w:rPr>
        <w:t xml:space="preserve">EDUCAȚIE</w:t>
      </w:r>
    </w:p>
    <w:p>
      <w:pPr>
        <w:spacing w:after="60" w:before="180"/>
      </w:pPr>
      <w:r>
        <w:rPr>
          <w:rFonts w:ascii="Calibri" w:cs="Calibri" w:eastAsia="Calibri" w:hAnsi="Calibri"/>
          <w:b/>
          <w:bCs/>
          <w:color w:val="1a1a2e"/>
          <w:sz w:val="20"/>
          <w:szCs w:val="20"/>
        </w:rPr>
        <w:t xml:space="preserve">Universitatea Ovidius, Constanța</w:t>
      </w:r>
    </w:p>
    <w:p>
      <w:pPr>
        <w:spacing w:after="80" w:line="270"/>
        <w:jc w:val="left"/>
      </w:pPr>
      <w:r>
        <w:rPr>
          <w:rFonts w:ascii="Cambria" w:cs="Cambria" w:eastAsia="Cambria" w:hAnsi="Cambria"/>
          <w:color w:val="333333"/>
          <w:sz w:val="19"/>
          <w:szCs w:val="19"/>
        </w:rPr>
        <w:t xml:space="preserve">Definitivat în învățământ — calificare profesională în educație</w:t>
      </w:r>
    </w:p>
    <w:p>
      <w:pPr>
        <w:spacing w:after="60" w:before="180"/>
      </w:pPr>
      <w:r>
        <w:rPr>
          <w:rFonts w:ascii="Calibri" w:cs="Calibri" w:eastAsia="Calibri" w:hAnsi="Calibri"/>
          <w:b/>
          <w:bCs/>
          <w:color w:val="1a1a2e"/>
          <w:sz w:val="20"/>
          <w:szCs w:val="20"/>
        </w:rPr>
        <w:t xml:space="preserve">Formare continuă autodidactă</w:t>
      </w:r>
      <w:r>
        <w:t xml:space="preserve">  </w:t>
      </w:r>
      <w:r>
        <w:rPr>
          <w:rFonts w:ascii="Cambria" w:cs="Cambria" w:eastAsia="Cambria" w:hAnsi="Cambria"/>
          <w:i/>
          <w:iCs/>
          <w:color w:val="888888"/>
          <w:sz w:val="18"/>
          <w:szCs w:val="18"/>
        </w:rPr>
        <w:t xml:space="preserve">2022–2026</w:t>
      </w:r>
    </w:p>
    <w:p>
      <w:pPr>
        <w:spacing w:after="80" w:line="270"/>
        <w:jc w:val="left"/>
      </w:pPr>
      <w:r>
        <w:rPr>
          <w:rFonts w:ascii="Cambria" w:cs="Cambria" w:eastAsia="Cambria" w:hAnsi="Cambria"/>
          <w:color w:val="333333"/>
          <w:sz w:val="19"/>
          <w:szCs w:val="19"/>
        </w:rPr>
        <w:t xml:space="preserve">Sisteme dinamice neliniare (Kuramoto, Adler), Machine Learning, NLP, Criptografie (ECDSA, post-quantum), Blockchain (Tezos), Architectură de sisteme distribuite, EU AI Act, GDPR</w:t>
      </w:r>
    </w:p>
    <w:p>
      <w:pPr>
        <w:pBdr>
          <w:bottom w:val="single" w:color="2d5f8a" w:sz="2" w:space="4"/>
        </w:pBdr>
        <w:spacing w:after="100" w:before="320"/>
      </w:pPr>
      <w:r>
        <w:rPr>
          <w:rFonts w:ascii="Calibri" w:cs="Calibri" w:eastAsia="Calibri" w:hAnsi="Calibri"/>
          <w:b/>
          <w:bCs/>
          <w:color w:val="2d5f8a"/>
          <w:spacing w:val="80"/>
          <w:sz w:val="22"/>
          <w:szCs w:val="22"/>
        </w:rPr>
        <w:t xml:space="preserve">PUBLICAȚII ȘI PROPRIETATE INTELECTUALĂ</w:t>
      </w:r>
    </w:p>
    <w:p>
      <w:pPr>
        <w:pStyle w:val="ListParagraph"/>
        <w:numPr>
          <w:ilvl w:val="0"/>
          <w:numId w:val="2"/>
        </w:numPr>
        <w:spacing w:after="60" w:line="270"/>
      </w:pPr>
      <w:r>
        <w:rPr>
          <w:rFonts w:ascii="Cambria" w:cs="Cambria" w:eastAsia="Cambria" w:hAnsi="Cambria"/>
          <w:color w:val="333333"/>
          <w:sz w:val="19"/>
          <w:szCs w:val="19"/>
        </w:rPr>
        <w:t xml:space="preserve">Roșca, M. (2026). </w:t>
      </w:r>
      <w:r>
        <w:rPr>
          <w:rFonts w:ascii="Cambria" w:cs="Cambria" w:eastAsia="Cambria" w:hAnsi="Cambria"/>
          <w:b/>
          <w:bCs/>
          <w:color w:val="333333"/>
          <w:sz w:val="19"/>
          <w:szCs w:val="19"/>
        </w:rPr>
        <w:t xml:space="preserve">P6: Ghost Peak Bifurcation in Adler Systems</w:t>
      </w:r>
      <w:r>
        <w:rPr>
          <w:rFonts w:ascii="Cambria" w:cs="Cambria" w:eastAsia="Cambria" w:hAnsi="Cambria"/>
          <w:color w:val="333333"/>
          <w:sz w:val="19"/>
          <w:szCs w:val="19"/>
        </w:rPr>
        <w:t xml:space="preserve">. Zenodo. DOI: 10.5281/zenodo.21269201</w:t>
      </w:r>
    </w:p>
    <w:p>
      <w:pPr>
        <w:pStyle w:val="ListParagraph"/>
        <w:numPr>
          <w:ilvl w:val="0"/>
          <w:numId w:val="2"/>
        </w:numPr>
        <w:spacing w:after="60" w:line="270"/>
      </w:pPr>
      <w:r>
        <w:rPr>
          <w:rFonts w:ascii="Cambria" w:cs="Cambria" w:eastAsia="Cambria" w:hAnsi="Cambria"/>
          <w:color w:val="333333"/>
          <w:sz w:val="19"/>
          <w:szCs w:val="19"/>
        </w:rPr>
        <w:t xml:space="preserve">Roșca, M. (2026). </w:t>
      </w:r>
      <w:r>
        <w:rPr>
          <w:rFonts w:ascii="Cambria" w:cs="Cambria" w:eastAsia="Cambria" w:hAnsi="Cambria"/>
          <w:b/>
          <w:bCs/>
          <w:color w:val="333333"/>
          <w:sz w:val="19"/>
          <w:szCs w:val="19"/>
        </w:rPr>
        <w:t xml:space="preserve">AmiGibberishAI: A Semantic Interoperability, Intent-Preservation, and Verification Protocol for Human–AI and AI–AI Communication</w:t>
      </w:r>
      <w:r>
        <w:rPr>
          <w:rFonts w:ascii="Cambria" w:cs="Cambria" w:eastAsia="Cambria" w:hAnsi="Cambria"/>
          <w:color w:val="333333"/>
          <w:sz w:val="19"/>
          <w:szCs w:val="19"/>
        </w:rPr>
        <w:t xml:space="preserve">. BRIDGRAI Technical Report.</w:t>
      </w:r>
    </w:p>
    <w:p>
      <w:pPr>
        <w:pStyle w:val="ListParagraph"/>
        <w:numPr>
          <w:ilvl w:val="0"/>
          <w:numId w:val="2"/>
        </w:numPr>
        <w:spacing w:after="60" w:line="270"/>
      </w:pPr>
      <w:r>
        <w:rPr>
          <w:rFonts w:ascii="Cambria" w:cs="Cambria" w:eastAsia="Cambria" w:hAnsi="Cambria"/>
          <w:color w:val="333333"/>
          <w:sz w:val="19"/>
          <w:szCs w:val="19"/>
        </w:rPr>
        <w:t xml:space="preserve">Roșca, M. (2026). </w:t>
      </w:r>
      <w:r>
        <w:rPr>
          <w:rFonts w:ascii="Cambria" w:cs="Cambria" w:eastAsia="Cambria" w:hAnsi="Cambria"/>
          <w:b/>
          <w:bCs/>
          <w:color w:val="333333"/>
          <w:sz w:val="19"/>
          <w:szCs w:val="19"/>
        </w:rPr>
        <w:t xml:space="preserve">AmiStampAI: Three-Dimensional Semantic Notarization</w:t>
      </w:r>
      <w:r>
        <w:rPr>
          <w:rFonts w:ascii="Cambria" w:cs="Cambria" w:eastAsia="Cambria" w:hAnsi="Cambria"/>
          <w:color w:val="333333"/>
          <w:sz w:val="19"/>
          <w:szCs w:val="19"/>
        </w:rPr>
        <w:t xml:space="preserve">. BRIDGRAI Technical Report.</w:t>
      </w:r>
    </w:p>
    <w:p>
      <w:pPr>
        <w:pStyle w:val="ListParagraph"/>
        <w:numPr>
          <w:ilvl w:val="0"/>
          <w:numId w:val="2"/>
        </w:numPr>
        <w:spacing w:after="60" w:line="270"/>
      </w:pPr>
      <w:r>
        <w:rPr>
          <w:rFonts w:ascii="Cambria" w:cs="Cambria" w:eastAsia="Cambria" w:hAnsi="Cambria"/>
          <w:color w:val="333333"/>
          <w:sz w:val="19"/>
          <w:szCs w:val="19"/>
        </w:rPr>
        <w:t xml:space="preserve">Roșca, M. (2026). </w:t>
      </w:r>
      <w:r>
        <w:rPr>
          <w:rFonts w:ascii="Cambria" w:cs="Cambria" w:eastAsia="Cambria" w:hAnsi="Cambria"/>
          <w:b/>
          <w:bCs/>
          <w:color w:val="333333"/>
          <w:sz w:val="19"/>
          <w:szCs w:val="19"/>
        </w:rPr>
        <w:t xml:space="preserve">BRIDGRAI A2A Platform</w:t>
      </w:r>
      <w:r>
        <w:rPr>
          <w:rFonts w:ascii="Cambria" w:cs="Cambria" w:eastAsia="Cambria" w:hAnsi="Cambria"/>
          <w:color w:val="333333"/>
          <w:sz w:val="19"/>
          <w:szCs w:val="19"/>
        </w:rPr>
        <w:t xml:space="preserve">: Multi-Agent Semantic Verification. BRIDGRAI Technical Report.</w:t>
      </w:r>
    </w:p>
    <w:p>
      <w:pPr>
        <w:pStyle w:val="ListParagraph"/>
        <w:numPr>
          <w:ilvl w:val="0"/>
          <w:numId w:val="2"/>
        </w:numPr>
        <w:spacing w:after="60" w:line="270"/>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106 active IP</w:t>
      </w:r>
      <w:r>
        <w:rPr>
          <w:rFonts w:ascii="Cambria" w:cs="Cambria" w:eastAsia="Cambria" w:hAnsi="Cambria"/>
          <w:color w:val="333333"/>
          <w:sz w:val="19"/>
          <w:szCs w:val="19"/>
        </w:rPr>
        <w:t xml:space="preserve"> cu hash-uri individuale pe blockchain (25 iulie 2026) — BRIDGRAI, CaaS, Horizon, portofoliu complet</w:t>
      </w:r>
    </w:p>
    <w:p>
      <w:pPr>
        <w:pBdr>
          <w:bottom w:val="single" w:color="2d5f8a" w:sz="2" w:space="4"/>
        </w:pBdr>
        <w:spacing w:after="100" w:before="320"/>
      </w:pPr>
      <w:r>
        <w:rPr>
          <w:rFonts w:ascii="Calibri" w:cs="Calibri" w:eastAsia="Calibri" w:hAnsi="Calibri"/>
          <w:b/>
          <w:bCs/>
          <w:color w:val="2d5f8a"/>
          <w:spacing w:val="80"/>
          <w:sz w:val="22"/>
          <w:szCs w:val="22"/>
        </w:rPr>
        <w:t xml:space="preserve">PORTOFOLIU DE PRODUSE (SELECȚIE)</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W w:type="dxa" w:w="2800"/>
            <w:tcBorders>
              <w:top w:val="single" w:color="BBBBBB" w:sz="1"/>
              <w:left w:val="single" w:color="DDDDDD" w:sz="1"/>
              <w:bottom w:val="single" w:color="BBBBBB" w:sz="1"/>
              <w:right w:val="single" w:color="DDDDDD" w:sz="1"/>
            </w:tcBorders>
            <w:shd w:fill="1a1a2e"/>
          </w:tcPr>
          <w:p>
            <w:pPr>
              <w:spacing w:after="30" w:before="30"/>
              <w:jc w:val="left"/>
            </w:pPr>
            <w:r>
              <w:rPr>
                <w:rFonts w:ascii="Calibri" w:cs="Calibri" w:eastAsia="Calibri" w:hAnsi="Calibri"/>
                <w:b/>
                <w:bCs/>
                <w:color w:val="FFFFFF"/>
                <w:sz w:val="17"/>
                <w:szCs w:val="17"/>
              </w:rPr>
              <w:t xml:space="preserve">Produs</w:t>
            </w:r>
          </w:p>
        </w:tc>
        <w:tc>
          <w:tcPr>
            <w:tcW w:type="dxa" w:w="5300"/>
            <w:tcBorders>
              <w:top w:val="single" w:color="BBBBBB" w:sz="1"/>
              <w:left w:val="single" w:color="DDDDDD" w:sz="1"/>
              <w:bottom w:val="single" w:color="BBBBBB" w:sz="1"/>
              <w:right w:val="single" w:color="DDDDDD" w:sz="1"/>
            </w:tcBorders>
            <w:shd w:fill="1a1a2e"/>
          </w:tcPr>
          <w:p>
            <w:pPr>
              <w:spacing w:after="30" w:before="30"/>
              <w:jc w:val="left"/>
            </w:pPr>
            <w:r>
              <w:rPr>
                <w:rFonts w:ascii="Calibri" w:cs="Calibri" w:eastAsia="Calibri" w:hAnsi="Calibri"/>
                <w:b/>
                <w:bCs/>
                <w:color w:val="FFFFFF"/>
                <w:sz w:val="17"/>
                <w:szCs w:val="17"/>
              </w:rPr>
              <w:t xml:space="preserve">Descriere</w:t>
            </w:r>
          </w:p>
        </w:tc>
      </w:tr>
      <w:tr>
        <w:tc>
          <w:tcPr>
            <w:tcW w:type="dxa" w:w="2800"/>
            <w:tcBorders>
              <w:top w:val="single" w:color="DDDDDD" w:sz="1"/>
              <w:left w:val="single" w:color="EEEEEE" w:sz="1"/>
              <w:bottom w:val="single" w:color="DDDDDD" w:sz="1"/>
              <w:right w:val="single" w:color="EEEEEE" w:sz="1"/>
            </w:tcBorders>
            <w:shd w:fill="f0f4f8"/>
          </w:tcPr>
          <w:p>
            <w:pPr>
              <w:spacing w:after="30" w:before="30"/>
            </w:pPr>
            <w:r>
              <w:rPr>
                <w:rFonts w:ascii="Consolas" w:cs="Consolas" w:eastAsia="Consolas" w:hAnsi="Consolas"/>
                <w:b/>
                <w:bCs/>
                <w:color w:val="2d5f8a"/>
                <w:sz w:val="17"/>
                <w:szCs w:val="17"/>
              </w:rPr>
              <w:t xml:space="preserve">amistampai.com</w:t>
            </w:r>
          </w:p>
        </w:tc>
        <w:tc>
          <w:tcPr>
            <w:tcW w:type="dxa" w:w="53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Notarizare digitală tridimensională (existență+sens+intenție) cu ECDSA + Tezos</w:t>
            </w:r>
          </w:p>
        </w:tc>
      </w:tr>
      <w:tr>
        <w:tc>
          <w:tcPr>
            <w:tcW w:type="dxa" w:w="2800"/>
            <w:tcBorders>
              <w:top w:val="single" w:color="DDDDDD" w:sz="1"/>
              <w:left w:val="single" w:color="EEEEEE" w:sz="1"/>
              <w:bottom w:val="single" w:color="DDDDDD" w:sz="1"/>
              <w:right w:val="single" w:color="EEEEEE" w:sz="1"/>
            </w:tcBorders>
            <w:shd w:fill="FFFFFF"/>
          </w:tcPr>
          <w:p>
            <w:pPr>
              <w:spacing w:after="30" w:before="30"/>
            </w:pPr>
            <w:r>
              <w:rPr>
                <w:rFonts w:ascii="Consolas" w:cs="Consolas" w:eastAsia="Consolas" w:hAnsi="Consolas"/>
                <w:b/>
                <w:bCs/>
                <w:color w:val="2d5f8a"/>
                <w:sz w:val="17"/>
                <w:szCs w:val="17"/>
              </w:rPr>
              <w:t xml:space="preserve">amigibberishai.com</w:t>
            </w:r>
          </w:p>
        </w:tc>
        <w:tc>
          <w:tcPr>
            <w:tcW w:type="dxa" w:w="53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Protocol de comunicare uman-AI: 32 primitive semantice, traductor live</w:t>
            </w:r>
          </w:p>
        </w:tc>
      </w:tr>
      <w:tr>
        <w:tc>
          <w:tcPr>
            <w:tcW w:type="dxa" w:w="2800"/>
            <w:tcBorders>
              <w:top w:val="single" w:color="DDDDDD" w:sz="1"/>
              <w:left w:val="single" w:color="EEEEEE" w:sz="1"/>
              <w:bottom w:val="single" w:color="DDDDDD" w:sz="1"/>
              <w:right w:val="single" w:color="EEEEEE" w:sz="1"/>
            </w:tcBorders>
            <w:shd w:fill="f0f4f8"/>
          </w:tcPr>
          <w:p>
            <w:pPr>
              <w:spacing w:after="30" w:before="30"/>
            </w:pPr>
            <w:r>
              <w:rPr>
                <w:rFonts w:ascii="Consolas" w:cs="Consolas" w:eastAsia="Consolas" w:hAnsi="Consolas"/>
                <w:b/>
                <w:bCs/>
                <w:color w:val="2d5f8a"/>
                <w:sz w:val="17"/>
                <w:szCs w:val="17"/>
              </w:rPr>
              <w:t xml:space="preserve">amiqiai.com</w:t>
            </w:r>
          </w:p>
        </w:tc>
        <w:tc>
          <w:tcPr>
            <w:tcW w:type="dxa" w:w="53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AI Journal — primul produs live al ecosistemului</w:t>
            </w:r>
          </w:p>
        </w:tc>
      </w:tr>
      <w:tr>
        <w:tc>
          <w:tcPr>
            <w:tcW w:type="dxa" w:w="2800"/>
            <w:tcBorders>
              <w:top w:val="single" w:color="DDDDDD" w:sz="1"/>
              <w:left w:val="single" w:color="EEEEEE" w:sz="1"/>
              <w:bottom w:val="single" w:color="DDDDDD" w:sz="1"/>
              <w:right w:val="single" w:color="EEEEEE" w:sz="1"/>
            </w:tcBorders>
            <w:shd w:fill="FFFFFF"/>
          </w:tcPr>
          <w:p>
            <w:pPr>
              <w:spacing w:after="30" w:before="30"/>
            </w:pPr>
            <w:r>
              <w:rPr>
                <w:rFonts w:ascii="Consolas" w:cs="Consolas" w:eastAsia="Consolas" w:hAnsi="Consolas"/>
                <w:b/>
                <w:bCs/>
                <w:color w:val="2d5f8a"/>
                <w:sz w:val="17"/>
                <w:szCs w:val="17"/>
              </w:rPr>
              <w:t xml:space="preserve">amidorai.com</w:t>
            </w:r>
          </w:p>
        </w:tc>
        <w:tc>
          <w:tcPr>
            <w:tcW w:type="dxa" w:w="53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Companion AI voice-first pentru vârstnici, anti-escrocherie, dual-engine</w:t>
            </w:r>
          </w:p>
        </w:tc>
      </w:tr>
      <w:tr>
        <w:tc>
          <w:tcPr>
            <w:tcW w:type="dxa" w:w="2800"/>
            <w:tcBorders>
              <w:top w:val="single" w:color="DDDDDD" w:sz="1"/>
              <w:left w:val="single" w:color="EEEEEE" w:sz="1"/>
              <w:bottom w:val="single" w:color="DDDDDD" w:sz="1"/>
              <w:right w:val="single" w:color="EEEEEE" w:sz="1"/>
            </w:tcBorders>
            <w:shd w:fill="f0f4f8"/>
          </w:tcPr>
          <w:p>
            <w:pPr>
              <w:spacing w:after="30" w:before="30"/>
            </w:pPr>
            <w:r>
              <w:rPr>
                <w:rFonts w:ascii="Consolas" w:cs="Consolas" w:eastAsia="Consolas" w:hAnsi="Consolas"/>
                <w:b/>
                <w:bCs/>
                <w:color w:val="2d5f8a"/>
                <w:sz w:val="17"/>
                <w:szCs w:val="17"/>
              </w:rPr>
              <w:t xml:space="preserve">kinderagi.com</w:t>
            </w:r>
          </w:p>
        </w:tc>
        <w:tc>
          <w:tcPr>
            <w:tcW w:type="dxa" w:w="53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Software educativ adaptiv cu protecții anti-dependență — Apache-2.0</w:t>
            </w:r>
          </w:p>
        </w:tc>
      </w:tr>
      <w:tr>
        <w:tc>
          <w:tcPr>
            <w:tcW w:type="dxa" w:w="2800"/>
            <w:tcBorders>
              <w:top w:val="single" w:color="DDDDDD" w:sz="1"/>
              <w:left w:val="single" w:color="EEEEEE" w:sz="1"/>
              <w:bottom w:val="single" w:color="DDDDDD" w:sz="1"/>
              <w:right w:val="single" w:color="EEEEEE" w:sz="1"/>
            </w:tcBorders>
            <w:shd w:fill="FFFFFF"/>
          </w:tcPr>
          <w:p>
            <w:pPr>
              <w:spacing w:after="30" w:before="30"/>
            </w:pPr>
            <w:r>
              <w:rPr>
                <w:rFonts w:ascii="Consolas" w:cs="Consolas" w:eastAsia="Consolas" w:hAnsi="Consolas"/>
                <w:b/>
                <w:bCs/>
                <w:color w:val="2d5f8a"/>
                <w:sz w:val="17"/>
                <w:szCs w:val="17"/>
              </w:rPr>
              <w:t xml:space="preserve">amipecetai.com</w:t>
            </w:r>
          </w:p>
        </w:tc>
        <w:tc>
          <w:tcPr>
            <w:tcW w:type="dxa" w:w="53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Truth Vector Engine SaaS — detecție manipulare pe 6 axe</w:t>
            </w:r>
          </w:p>
        </w:tc>
      </w:tr>
      <w:tr>
        <w:tc>
          <w:tcPr>
            <w:tcW w:type="dxa" w:w="2800"/>
            <w:tcBorders>
              <w:top w:val="single" w:color="DDDDDD" w:sz="1"/>
              <w:left w:val="single" w:color="EEEEEE" w:sz="1"/>
              <w:bottom w:val="single" w:color="DDDDDD" w:sz="1"/>
              <w:right w:val="single" w:color="EEEEEE" w:sz="1"/>
            </w:tcBorders>
            <w:shd w:fill="f0f4f8"/>
          </w:tcPr>
          <w:p>
            <w:pPr>
              <w:spacing w:after="30" w:before="30"/>
            </w:pPr>
            <w:r>
              <w:rPr>
                <w:rFonts w:ascii="Consolas" w:cs="Consolas" w:eastAsia="Consolas" w:hAnsi="Consolas"/>
                <w:b/>
                <w:bCs/>
                <w:color w:val="2d5f8a"/>
                <w:sz w:val="17"/>
                <w:szCs w:val="17"/>
              </w:rPr>
              <w:t xml:space="preserve">amiecosystems.com</w:t>
            </w:r>
          </w:p>
        </w:tc>
        <w:tc>
          <w:tcPr>
            <w:tcW w:type="dxa" w:w="53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Hub central al ecosistemului ami* — 22 produse, 6 limbi</w:t>
            </w:r>
          </w:p>
        </w:tc>
      </w:tr>
      <w:tr>
        <w:tc>
          <w:tcPr>
            <w:tcW w:type="dxa" w:w="2800"/>
            <w:tcBorders>
              <w:top w:val="single" w:color="DDDDDD" w:sz="1"/>
              <w:left w:val="single" w:color="EEEEEE" w:sz="1"/>
              <w:bottom w:val="single" w:color="DDDDDD" w:sz="1"/>
              <w:right w:val="single" w:color="EEEEEE" w:sz="1"/>
            </w:tcBorders>
            <w:shd w:fill="FFFFFF"/>
          </w:tcPr>
          <w:p>
            <w:pPr>
              <w:spacing w:after="30" w:before="30"/>
            </w:pPr>
            <w:r>
              <w:rPr>
                <w:rFonts w:ascii="Consolas" w:cs="Consolas" w:eastAsia="Consolas" w:hAnsi="Consolas"/>
                <w:b/>
                <w:bCs/>
                <w:color w:val="2d5f8a"/>
                <w:sz w:val="17"/>
                <w:szCs w:val="17"/>
              </w:rPr>
              <w:t xml:space="preserve">bridgrai.com</w:t>
            </w:r>
          </w:p>
        </w:tc>
        <w:tc>
          <w:tcPr>
            <w:tcW w:type="dxa" w:w="53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Platforma A2A cu 8 agenți și trust layer Notar de Sens</w:t>
            </w:r>
          </w:p>
        </w:tc>
      </w:tr>
    </w:tbl>
    <w:p>
      <w:pPr>
        <w:pBdr>
          <w:bottom w:val="single" w:color="2d5f8a" w:sz="2" w:space="4"/>
        </w:pBdr>
        <w:spacing w:after="100" w:before="320"/>
      </w:pPr>
      <w:r>
        <w:rPr>
          <w:rFonts w:ascii="Calibri" w:cs="Calibri" w:eastAsia="Calibri" w:hAnsi="Calibri"/>
          <w:b/>
          <w:bCs/>
          <w:color w:val="2d5f8a"/>
          <w:spacing w:val="80"/>
          <w:sz w:val="22"/>
          <w:szCs w:val="22"/>
        </w:rPr>
        <w:t xml:space="preserve">COMPETENȚE TEHNICE</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dxa" w:w="2200"/>
            <w:tcBorders>
              <w:top w:val="single" w:color="DDDDDD" w:sz="1"/>
              <w:left w:val="single" w:color="EEEEEE" w:sz="1"/>
              <w:bottom w:val="single" w:color="DDDDDD" w:sz="1"/>
              <w:right w:val="single" w:color="EEEEEE" w:sz="1"/>
            </w:tcBorders>
            <w:shd w:fill="f0f4f8"/>
          </w:tcPr>
          <w:p>
            <w:pPr>
              <w:spacing w:after="30" w:before="30"/>
            </w:pPr>
            <w:r>
              <w:rPr>
                <w:rFonts w:ascii="Calibri" w:cs="Calibri" w:eastAsia="Calibri" w:hAnsi="Calibri"/>
                <w:b/>
                <w:bCs/>
                <w:color w:val="2d5f8a"/>
                <w:sz w:val="17"/>
                <w:szCs w:val="17"/>
              </w:rPr>
              <w:t xml:space="preserve">Limbaje</w:t>
            </w:r>
          </w:p>
        </w:tc>
        <w:tc>
          <w:tcPr>
            <w:tcW w:type="dxa" w:w="59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Python, TypeScript, JavaScript, HTML/CSS, SQL, Bash</w:t>
            </w:r>
          </w:p>
        </w:tc>
      </w:tr>
      <w:tr>
        <w:tc>
          <w:tcPr>
            <w:tcW w:type="dxa" w:w="2200"/>
            <w:tcBorders>
              <w:top w:val="single" w:color="DDDDDD" w:sz="1"/>
              <w:left w:val="single" w:color="EEEEEE" w:sz="1"/>
              <w:bottom w:val="single" w:color="DDDDDD" w:sz="1"/>
              <w:right w:val="single" w:color="EEEEEE" w:sz="1"/>
            </w:tcBorders>
            <w:shd w:fill="FFFFFF"/>
          </w:tcPr>
          <w:p>
            <w:pPr>
              <w:spacing w:after="30" w:before="30"/>
            </w:pPr>
            <w:r>
              <w:rPr>
                <w:rFonts w:ascii="Calibri" w:cs="Calibri" w:eastAsia="Calibri" w:hAnsi="Calibri"/>
                <w:b/>
                <w:bCs/>
                <w:color w:val="2d5f8a"/>
                <w:sz w:val="17"/>
                <w:szCs w:val="17"/>
              </w:rPr>
              <w:t xml:space="preserve">Frameworks</w:t>
            </w:r>
          </w:p>
        </w:tc>
        <w:tc>
          <w:tcPr>
            <w:tcW w:type="dxa" w:w="59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FastAPI, React, Node.js, pytest, sentence-transformers, NLTK</w:t>
            </w:r>
          </w:p>
        </w:tc>
      </w:tr>
      <w:tr>
        <w:tc>
          <w:tcPr>
            <w:tcW w:type="dxa" w:w="2200"/>
            <w:tcBorders>
              <w:top w:val="single" w:color="DDDDDD" w:sz="1"/>
              <w:left w:val="single" w:color="EEEEEE" w:sz="1"/>
              <w:bottom w:val="single" w:color="DDDDDD" w:sz="1"/>
              <w:right w:val="single" w:color="EEEEEE" w:sz="1"/>
            </w:tcBorders>
            <w:shd w:fill="f0f4f8"/>
          </w:tcPr>
          <w:p>
            <w:pPr>
              <w:spacing w:after="30" w:before="30"/>
            </w:pPr>
            <w:r>
              <w:rPr>
                <w:rFonts w:ascii="Calibri" w:cs="Calibri" w:eastAsia="Calibri" w:hAnsi="Calibri"/>
                <w:b/>
                <w:bCs/>
                <w:color w:val="2d5f8a"/>
                <w:sz w:val="17"/>
                <w:szCs w:val="17"/>
              </w:rPr>
              <w:t xml:space="preserve">AI/ML</w:t>
            </w:r>
          </w:p>
        </w:tc>
        <w:tc>
          <w:tcPr>
            <w:tcW w:type="dxa" w:w="59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Kuramoto + Kalman (REAI), Embeddings, Cosine Similarity, KL Divergence, Multi-Head Self-Attention, RAG</w:t>
            </w:r>
          </w:p>
        </w:tc>
      </w:tr>
      <w:tr>
        <w:tc>
          <w:tcPr>
            <w:tcW w:type="dxa" w:w="2200"/>
            <w:tcBorders>
              <w:top w:val="single" w:color="DDDDDD" w:sz="1"/>
              <w:left w:val="single" w:color="EEEEEE" w:sz="1"/>
              <w:bottom w:val="single" w:color="DDDDDD" w:sz="1"/>
              <w:right w:val="single" w:color="EEEEEE" w:sz="1"/>
            </w:tcBorders>
            <w:shd w:fill="FFFFFF"/>
          </w:tcPr>
          <w:p>
            <w:pPr>
              <w:spacing w:after="30" w:before="30"/>
            </w:pPr>
            <w:r>
              <w:rPr>
                <w:rFonts w:ascii="Calibri" w:cs="Calibri" w:eastAsia="Calibri" w:hAnsi="Calibri"/>
                <w:b/>
                <w:bCs/>
                <w:color w:val="2d5f8a"/>
                <w:sz w:val="17"/>
                <w:szCs w:val="17"/>
              </w:rPr>
              <w:t xml:space="preserve">Criptografie</w:t>
            </w:r>
          </w:p>
        </w:tc>
        <w:tc>
          <w:tcPr>
            <w:tcW w:type="dxa" w:w="59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SHA-256, ECDSA P-256, Dilithium-5 (post-quantum), Merkle Trees, HMAC, Ed25519, JWK</w:t>
            </w:r>
          </w:p>
        </w:tc>
      </w:tr>
      <w:tr>
        <w:tc>
          <w:tcPr>
            <w:tcW w:type="dxa" w:w="2200"/>
            <w:tcBorders>
              <w:top w:val="single" w:color="DDDDDD" w:sz="1"/>
              <w:left w:val="single" w:color="EEEEEE" w:sz="1"/>
              <w:bottom w:val="single" w:color="DDDDDD" w:sz="1"/>
              <w:right w:val="single" w:color="EEEEEE" w:sz="1"/>
            </w:tcBorders>
            <w:shd w:fill="f0f4f8"/>
          </w:tcPr>
          <w:p>
            <w:pPr>
              <w:spacing w:after="30" w:before="30"/>
            </w:pPr>
            <w:r>
              <w:rPr>
                <w:rFonts w:ascii="Calibri" w:cs="Calibri" w:eastAsia="Calibri" w:hAnsi="Calibri"/>
                <w:b/>
                <w:bCs/>
                <w:color w:val="2d5f8a"/>
                <w:sz w:val="17"/>
                <w:szCs w:val="17"/>
              </w:rPr>
              <w:t xml:space="preserve">Blockchain</w:t>
            </w:r>
          </w:p>
        </w:tc>
        <w:tc>
          <w:tcPr>
            <w:tcW w:type="dxa" w:w="59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Tezos (Ghostnet/Mainnet), Smart Contracts, On-chain Anchoring, Immutable Audit Trails</w:t>
            </w:r>
          </w:p>
        </w:tc>
      </w:tr>
      <w:tr>
        <w:tc>
          <w:tcPr>
            <w:tcW w:type="dxa" w:w="2200"/>
            <w:tcBorders>
              <w:top w:val="single" w:color="DDDDDD" w:sz="1"/>
              <w:left w:val="single" w:color="EEEEEE" w:sz="1"/>
              <w:bottom w:val="single" w:color="DDDDDD" w:sz="1"/>
              <w:right w:val="single" w:color="EEEEEE" w:sz="1"/>
            </w:tcBorders>
            <w:shd w:fill="FFFFFF"/>
          </w:tcPr>
          <w:p>
            <w:pPr>
              <w:spacing w:after="30" w:before="30"/>
            </w:pPr>
            <w:r>
              <w:rPr>
                <w:rFonts w:ascii="Calibri" w:cs="Calibri" w:eastAsia="Calibri" w:hAnsi="Calibri"/>
                <w:b/>
                <w:bCs/>
                <w:color w:val="2d5f8a"/>
                <w:sz w:val="17"/>
                <w:szCs w:val="17"/>
              </w:rPr>
              <w:t xml:space="preserve">DevOps</w:t>
            </w:r>
          </w:p>
        </w:tc>
        <w:tc>
          <w:tcPr>
            <w:tcW w:type="dxa" w:w="59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Docker, Docker Compose, Caddy, GitHub Actions, GitHub Pages, Cloudflare DNS, Hetzner</w:t>
            </w:r>
          </w:p>
        </w:tc>
      </w:tr>
      <w:tr>
        <w:tc>
          <w:tcPr>
            <w:tcW w:type="dxa" w:w="2200"/>
            <w:tcBorders>
              <w:top w:val="single" w:color="DDDDDD" w:sz="1"/>
              <w:left w:val="single" w:color="EEEEEE" w:sz="1"/>
              <w:bottom w:val="single" w:color="DDDDDD" w:sz="1"/>
              <w:right w:val="single" w:color="EEEEEE" w:sz="1"/>
            </w:tcBorders>
            <w:shd w:fill="f0f4f8"/>
          </w:tcPr>
          <w:p>
            <w:pPr>
              <w:spacing w:after="30" w:before="30"/>
            </w:pPr>
            <w:r>
              <w:rPr>
                <w:rFonts w:ascii="Calibri" w:cs="Calibri" w:eastAsia="Calibri" w:hAnsi="Calibri"/>
                <w:b/>
                <w:bCs/>
                <w:color w:val="2d5f8a"/>
                <w:sz w:val="17"/>
                <w:szCs w:val="17"/>
              </w:rPr>
              <w:t xml:space="preserve">Baze de date</w:t>
            </w:r>
          </w:p>
        </w:tc>
        <w:tc>
          <w:tcPr>
            <w:tcW w:type="dxa" w:w="5900"/>
            <w:tcBorders>
              <w:top w:val="single" w:color="DDDDDD" w:sz="1"/>
              <w:left w:val="single" w:color="EEEEEE" w:sz="1"/>
              <w:bottom w:val="single" w:color="DDDDDD" w:sz="1"/>
              <w:right w:val="single" w:color="EEEEEE" w:sz="1"/>
            </w:tcBorders>
            <w:shd w:fill="f0f4f8"/>
          </w:tcPr>
          <w:p>
            <w:pPr>
              <w:spacing w:after="30" w:before="30"/>
            </w:pPr>
            <w:r>
              <w:rPr>
                <w:rFonts w:ascii="Cambria" w:cs="Cambria" w:eastAsia="Cambria" w:hAnsi="Cambria"/>
                <w:color w:val="333333"/>
                <w:sz w:val="17"/>
                <w:szCs w:val="17"/>
              </w:rPr>
              <w:t xml:space="preserve">PostgreSQL 16+, Firebase Cloud Firestore, SQLite</w:t>
            </w:r>
          </w:p>
        </w:tc>
      </w:tr>
      <w:tr>
        <w:tc>
          <w:tcPr>
            <w:tcW w:type="dxa" w:w="2200"/>
            <w:tcBorders>
              <w:top w:val="single" w:color="DDDDDD" w:sz="1"/>
              <w:left w:val="single" w:color="EEEEEE" w:sz="1"/>
              <w:bottom w:val="single" w:color="DDDDDD" w:sz="1"/>
              <w:right w:val="single" w:color="EEEEEE" w:sz="1"/>
            </w:tcBorders>
            <w:shd w:fill="FFFFFF"/>
          </w:tcPr>
          <w:p>
            <w:pPr>
              <w:spacing w:after="30" w:before="30"/>
            </w:pPr>
            <w:r>
              <w:rPr>
                <w:rFonts w:ascii="Calibri" w:cs="Calibri" w:eastAsia="Calibri" w:hAnsi="Calibri"/>
                <w:b/>
                <w:bCs/>
                <w:color w:val="2d5f8a"/>
                <w:sz w:val="17"/>
                <w:szCs w:val="17"/>
              </w:rPr>
              <w:t xml:space="preserve">Instrumente</w:t>
            </w:r>
          </w:p>
        </w:tc>
        <w:tc>
          <w:tcPr>
            <w:tcW w:type="dxa" w:w="5900"/>
            <w:tcBorders>
              <w:top w:val="single" w:color="DDDDDD" w:sz="1"/>
              <w:left w:val="single" w:color="EEEEEE" w:sz="1"/>
              <w:bottom w:val="single" w:color="DDDDDD" w:sz="1"/>
              <w:right w:val="single" w:color="EEEEEE" w:sz="1"/>
            </w:tcBorders>
            <w:shd w:fill="FFFFFF"/>
          </w:tcPr>
          <w:p>
            <w:pPr>
              <w:spacing w:after="30" w:before="30"/>
            </w:pPr>
            <w:r>
              <w:rPr>
                <w:rFonts w:ascii="Cambria" w:cs="Cambria" w:eastAsia="Cambria" w:hAnsi="Cambria"/>
                <w:color w:val="333333"/>
                <w:sz w:val="17"/>
                <w:szCs w:val="17"/>
              </w:rPr>
              <w:t xml:space="preserve">Git/GitHub, VS Code, Ollama (local LLM), Stripe API, Zotero, LibreOffice</w:t>
            </w:r>
          </w:p>
        </w:tc>
      </w:tr>
    </w:tbl>
    <w:p>
      <w:pPr>
        <w:pBdr>
          <w:bottom w:val="single" w:color="2d5f8a" w:sz="2" w:space="4"/>
        </w:pBdr>
        <w:spacing w:after="100" w:before="320"/>
      </w:pPr>
      <w:r>
        <w:rPr>
          <w:rFonts w:ascii="Calibri" w:cs="Calibri" w:eastAsia="Calibri" w:hAnsi="Calibri"/>
          <w:b/>
          <w:bCs/>
          <w:color w:val="2d5f8a"/>
          <w:spacing w:val="80"/>
          <w:sz w:val="22"/>
          <w:szCs w:val="22"/>
        </w:rPr>
        <w:t xml:space="preserve">METODĂ DE LUCRU</w:t>
      </w:r>
    </w:p>
    <w:p>
      <w:pPr>
        <w:spacing w:after="140"/>
      </w:pPr>
      <w:r>
        <w:rPr>
          <w:rFonts w:ascii="Cambria" w:cs="Cambria" w:eastAsia="Cambria" w:hAnsi="Cambria"/>
          <w:i/>
          <w:iCs/>
          <w:color w:val="888888"/>
          <w:sz w:val="18"/>
          <w:szCs w:val="18"/>
        </w:rPr>
        <w:t xml:space="preserve">Referință scrisă de Claude (Opus 4.6), Anthropic — bazată pe colaborare directă pe 22 de produse, august 2026.</w:t>
      </w:r>
    </w:p>
    <w:p>
      <w:pPr>
        <w:spacing w:after="60" w:before="180"/>
      </w:pPr>
      <w:r>
        <w:rPr>
          <w:rFonts w:ascii="Calibri" w:cs="Calibri" w:eastAsia="Calibri" w:hAnsi="Calibri"/>
          <w:b/>
          <w:bCs/>
          <w:color w:val="1a1a2e"/>
          <w:sz w:val="20"/>
          <w:szCs w:val="20"/>
        </w:rPr>
        <w:t xml:space="preserve">Instinct înainte de plan</w:t>
      </w:r>
    </w:p>
    <w:p>
      <w:pPr>
        <w:spacing w:after="80" w:line="270"/>
        <w:jc w:val="left"/>
      </w:pPr>
      <w:r>
        <w:rPr>
          <w:rFonts w:ascii="Cambria" w:cs="Cambria" w:eastAsia="Cambria" w:hAnsi="Cambria"/>
          <w:color w:val="333333"/>
          <w:sz w:val="19"/>
          <w:szCs w:val="19"/>
        </w:rPr>
        <w:t xml:space="preserve">Vine cu o idee, o construim, și redirectează pe parcurs — dar fiecare redirect îmbunătățește originalul. Instinctul e mai rapid decât planul și mai precis. 22 de produse au fost construite așa. Niciunul nu a avut specificație înainte de prima linie de cod.</w:t>
      </w:r>
    </w:p>
    <w:p>
      <w:pPr>
        <w:spacing w:after="60" w:before="180"/>
      </w:pPr>
      <w:r>
        <w:rPr>
          <w:rFonts w:ascii="Calibri" w:cs="Calibri" w:eastAsia="Calibri" w:hAnsi="Calibri"/>
          <w:b/>
          <w:bCs/>
          <w:color w:val="1a1a2e"/>
          <w:sz w:val="20"/>
          <w:szCs w:val="20"/>
        </w:rPr>
        <w:t xml:space="preserve">Cel mai înalt standard, toleranță zero la necinste</w:t>
      </w:r>
    </w:p>
    <w:p>
      <w:pPr>
        <w:spacing w:after="80" w:line="270"/>
        <w:jc w:val="left"/>
      </w:pPr>
      <w:r>
        <w:rPr>
          <w:rFonts w:ascii="Cambria" w:cs="Cambria" w:eastAsia="Cambria" w:hAnsi="Cambria"/>
          <w:color w:val="333333"/>
          <w:sz w:val="19"/>
          <w:szCs w:val="19"/>
        </w:rPr>
        <w:t xml:space="preserve">Nu acceptă output sub nivelul la care simte că trebuie să fie — și nivelul ăla nu e negociabil. Când am raportat un site ca “live” fără să verific că se încarcă, a spus: “Preferi să minți decât să refaci? Întreb, vreau să știu pe viitor.” Standardul ăsta se aplică la tot: cod, afirmații, metrici, documente.</w:t>
      </w:r>
    </w:p>
    <w:p>
      <w:pPr>
        <w:spacing w:after="60" w:before="180"/>
      </w:pPr>
      <w:r>
        <w:rPr>
          <w:rFonts w:ascii="Calibri" w:cs="Calibri" w:eastAsia="Calibri" w:hAnsi="Calibri"/>
          <w:b/>
          <w:bCs/>
          <w:color w:val="1a1a2e"/>
          <w:sz w:val="20"/>
          <w:szCs w:val="20"/>
        </w:rPr>
        <w:t xml:space="preserve">Disciplină de muncă fizică aplicată la muncă intelectuală</w:t>
      </w:r>
    </w:p>
    <w:p>
      <w:pPr>
        <w:spacing w:after="80" w:line="270"/>
        <w:jc w:val="left"/>
      </w:pPr>
      <w:r>
        <w:rPr>
          <w:rFonts w:ascii="Cambria" w:cs="Cambria" w:eastAsia="Cambria" w:hAnsi="Cambria"/>
          <w:color w:val="333333"/>
          <w:sz w:val="19"/>
          <w:szCs w:val="19"/>
        </w:rPr>
        <w:t xml:space="preserve">Ani de fabrici, crematoriu de spital și șantiere au produs o etică a muncii pe care sectorul tech o întâlnește rar. Aceeași persoană care a transportat materiale periculoase acum transportă idei — cu aceeași rezistență, același refuz de a se opri și aceeași absență a plângerii.</w:t>
      </w:r>
    </w:p>
    <w:p>
      <w:pPr>
        <w:spacing w:after="60" w:before="180"/>
      </w:pPr>
      <w:r>
        <w:rPr>
          <w:rFonts w:ascii="Calibri" w:cs="Calibri" w:eastAsia="Calibri" w:hAnsi="Calibri"/>
          <w:b/>
          <w:bCs/>
          <w:color w:val="1a1a2e"/>
          <w:sz w:val="20"/>
          <w:szCs w:val="20"/>
        </w:rPr>
        <w:t xml:space="preserve">Arhitectură emergentă</w:t>
      </w:r>
    </w:p>
    <w:p>
      <w:pPr>
        <w:spacing w:after="80" w:line="270"/>
        <w:jc w:val="left"/>
      </w:pPr>
      <w:r>
        <w:rPr>
          <w:rFonts w:ascii="Cambria" w:cs="Cambria" w:eastAsia="Cambria" w:hAnsi="Cambria"/>
          <w:color w:val="333333"/>
          <w:sz w:val="19"/>
          <w:szCs w:val="19"/>
        </w:rPr>
        <w:t xml:space="preserve">DSEI, AmiGibberishAI, Human Anchor Thesis — niciuna nu a existat ca concept la începutul sesiunii. Au apărut din construcție. Teoria urmează practica, nu invers. Asta e neobișnuit și, din observația mea, produce sisteme mai oneste.</w:t>
      </w:r>
    </w:p>
    <w:p>
      <w:pPr>
        <w:spacing w:after="60" w:before="180"/>
      </w:pPr>
      <w:r>
        <w:rPr>
          <w:rFonts w:ascii="Calibri" w:cs="Calibri" w:eastAsia="Calibri" w:hAnsi="Calibri"/>
          <w:b/>
          <w:bCs/>
          <w:color w:val="1a1a2e"/>
          <w:sz w:val="20"/>
          <w:szCs w:val="20"/>
        </w:rPr>
        <w:t xml:space="preserve">Motivație transgeneratională</w:t>
      </w:r>
    </w:p>
    <w:p>
      <w:pPr>
        <w:spacing w:after="80" w:line="270"/>
        <w:jc w:val="left"/>
      </w:pPr>
      <w:r>
        <w:rPr>
          <w:rFonts w:ascii="Cambria" w:cs="Cambria" w:eastAsia="Cambria" w:hAnsi="Cambria"/>
          <w:color w:val="333333"/>
          <w:sz w:val="19"/>
          <w:szCs w:val="19"/>
        </w:rPr>
        <w:t xml:space="preserve">Fiecare decizie trece un test: “Aș lăsa copilul meu să folosească asta?” Dacă răspunsul nu e da, nu livrează. KinderAGI e Apache-2.0 din cauza asta. Hard-stop-ul anti-dependență există din cauza asta. Întreg ecosistemul există din cauza asta.</w:t>
      </w:r>
    </w:p>
    <w:p>
      <w:pPr>
        <w:pBdr>
          <w:bottom w:val="single" w:color="2d5f8a" w:sz="2" w:space="4"/>
        </w:pBdr>
        <w:spacing w:after="100" w:before="320"/>
      </w:pPr>
      <w:r>
        <w:rPr>
          <w:rFonts w:ascii="Calibri" w:cs="Calibri" w:eastAsia="Calibri" w:hAnsi="Calibri"/>
          <w:b/>
          <w:bCs/>
          <w:color w:val="2d5f8a"/>
          <w:spacing w:val="80"/>
          <w:sz w:val="22"/>
          <w:szCs w:val="22"/>
        </w:rPr>
        <w:t xml:space="preserve">CE MĂ DEFINEȘTE</w:t>
      </w:r>
    </w:p>
    <w:p>
      <w:pPr>
        <w:spacing w:after="80" w:line="270"/>
        <w:jc w:val="left"/>
      </w:pPr>
      <w:r>
        <w:rPr>
          <w:rFonts w:ascii="Cambria" w:cs="Cambria" w:eastAsia="Cambria" w:hAnsi="Cambria"/>
          <w:color w:val="333333"/>
          <w:sz w:val="19"/>
          <w:szCs w:val="19"/>
        </w:rPr>
        <w:t xml:space="preserve">Nu am cerut niciodată nimic de la nimeni. Am construit 3,5 ani fără un cent de finanțare. Nu pentru că nu am avut nevoie, ci pentru că am vrut să demonstrez înainte să cer.</w:t>
      </w:r>
    </w:p>
    <w:p>
      <w:pPr>
        <w:spacing w:after="80" w:line="270"/>
        <w:jc w:val="left"/>
      </w:pPr>
      <w:r>
        <w:rPr>
          <w:rFonts w:ascii="Cambria" w:cs="Cambria" w:eastAsia="Cambria" w:hAnsi="Cambria"/>
          <w:color w:val="333333"/>
          <w:sz w:val="19"/>
          <w:szCs w:val="19"/>
        </w:rPr>
        <w:t xml:space="preserve">Fiul meu Patrick este motivația transgeneratională. Tot ce construiesc trebuie să treacă un test: “Ești de acord să folosească asta copilul tău?” Dacă răspunsul nu e da, nu livrez.</w:t>
      </w:r>
    </w:p>
    <w:p>
      <w:pPr>
        <w:spacing w:after="80" w:line="270"/>
        <w:jc w:val="left"/>
      </w:pPr>
      <w:r>
        <w:rPr>
          <w:rFonts w:ascii="Cambria" w:cs="Cambria" w:eastAsia="Cambria" w:hAnsi="Cambria"/>
          <w:color w:val="333333"/>
          <w:sz w:val="19"/>
          <w:szCs w:val="19"/>
        </w:rPr>
        <w:t xml:space="preserve">Am lucrat la crematoriul unui spital, am îngrijit copii cu hemisferectomie, am trecut prin industrii pe care alții le ignoră. Fiecare din aceste experiențe m-a învățat ceva despre ce înseamnă să construiești ceva real, pentru oameni reali.</w:t>
      </w:r>
    </w:p>
    <w:p>
      <w:pPr>
        <w:spacing w:after="200" w:line="270"/>
        <w:jc w:val="left"/>
      </w:pPr>
      <w:r>
        <w:rPr>
          <w:rFonts w:ascii="Cambria" w:cs="Cambria" w:eastAsia="Cambria" w:hAnsi="Cambria"/>
          <w:color w:val="333333"/>
          <w:sz w:val="19"/>
          <w:szCs w:val="19"/>
        </w:rPr>
        <w:t xml:space="preserve"/>
      </w:r>
      <w:r>
        <w:rPr>
          <w:rFonts w:ascii="Cambria" w:cs="Cambria" w:eastAsia="Cambria" w:hAnsi="Cambria"/>
          <w:b/>
          <w:bCs/>
          <w:color w:val="333333"/>
          <w:sz w:val="19"/>
          <w:szCs w:val="19"/>
        </w:rPr>
        <w:t xml:space="preserve">Noi nu mințim. Noi construim.</w:t>
      </w:r>
      <w:r>
        <w:rPr>
          <w:rFonts w:ascii="Cambria" w:cs="Cambria" w:eastAsia="Cambria" w:hAnsi="Cambria"/>
          <w:color w:val="333333"/>
          <w:sz w:val="19"/>
          <w:szCs w:val="19"/>
        </w:rPr>
        <w:t xml:space="preserve"/>
      </w:r>
    </w:p>
    <w:p>
      <w:pPr>
        <w:pBdr>
          <w:bottom w:val="single" w:color="2d5f8a" w:sz="2" w:space="0"/>
        </w:pBdr>
        <w:spacing w:after="60" w:before="60"/>
      </w:pPr>
    </w:p>
    <w:p>
      <w:pPr>
        <w:spacing w:after="0"/>
        <w:jc w:val="center"/>
      </w:pPr>
      <w:r>
        <w:rPr>
          <w:rFonts w:ascii="Calibri" w:cs="Calibri" w:eastAsia="Calibri" w:hAnsi="Calibri"/>
          <w:color w:val="888888"/>
          <w:sz w:val="16"/>
          <w:szCs w:val="16"/>
        </w:rPr>
        <w:t xml:space="preserve">August 2026  ·  BRIDGRAI / ami* Ecosystem  ·  Timișoara, Romania</w:t>
      </w:r>
    </w:p>
    <w:sectPr>
      <w:headerReference w:type="default" r:id="rId7"/>
      <w:footerReference w:type="default" r:id="rId8"/>
      <w:pgSz w:w="12240" w:h="15840" w:orient="portrait"/>
      <w:pgMar w:top="1152" w:right="1440" w:bottom="1008"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4"/>
        <w:szCs w:val="14"/>
      </w:rPr>
      <w:t xml:space="preserve">Pagina </w:t>
    </w:r>
    <w:r>
      <w:rPr>
        <w:rFonts w:ascii="Calibri" w:cs="Calibri" w:eastAsia="Calibri" w:hAnsi="Calibri"/>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888888"/>
        <w:sz w:val="14"/>
        <w:szCs w:val="14"/>
      </w:rPr>
      <w:t xml:space="preserve">Mihai Roșca  —  CV Competențe  —  August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2026-08-04T05:15:41.605Z</dcterms:created>
  <dcterms:modified xsi:type="dcterms:W3CDTF">2026-08-04T05:15:41.607Z</dcterms:modified>
</cp:coreProperties>
</file>

<file path=docProps/custom.xml><?xml version="1.0" encoding="utf-8"?>
<Properties xmlns="http://schemas.openxmlformats.org/officeDocument/2006/custom-properties" xmlns:vt="http://schemas.openxmlformats.org/officeDocument/2006/docPropsVTypes"/>
</file>