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pPr>
    </w:p>
    <w:p>
      <w:pPr>
        <w:spacing w:after="40"/>
        <w:jc w:val="center"/>
      </w:pPr>
      <w:r>
        <w:rPr>
          <w:rFonts w:ascii="Calibri" w:cs="Calibri" w:eastAsia="Calibri" w:hAnsi="Calibri"/>
          <w:b/>
          <w:bCs/>
          <w:color w:val="1a1a2e"/>
          <w:spacing w:val="200"/>
          <w:sz w:val="56"/>
          <w:szCs w:val="56"/>
        </w:rPr>
        <w:t xml:space="preserve">DSEI</w:t>
      </w:r>
    </w:p>
    <w:p>
      <w:pPr>
        <w:spacing w:after="20"/>
        <w:jc w:val="center"/>
      </w:pPr>
      <w:r>
        <w:rPr>
          <w:rFonts w:ascii="Calibri" w:cs="Calibri" w:eastAsia="Calibri" w:hAnsi="Calibri"/>
          <w:color w:val="2d5f8a"/>
          <w:sz w:val="24"/>
          <w:szCs w:val="24"/>
        </w:rPr>
        <w:t xml:space="preserve">Discrete System of Ethical Integration</w:t>
      </w:r>
    </w:p>
    <w:p>
      <w:pPr>
        <w:spacing w:after="300"/>
        <w:jc w:val="center"/>
      </w:pPr>
      <w:r>
        <w:rPr>
          <w:rFonts w:ascii="Calibri" w:cs="Calibri" w:eastAsia="Calibri" w:hAnsi="Calibri"/>
          <w:i/>
          <w:iCs/>
          <w:color w:val="555555"/>
          <w:sz w:val="22"/>
          <w:szCs w:val="22"/>
        </w:rPr>
        <w:t xml:space="preserve">Sistem Discret de Integrare Etică Recepționabilă</w:t>
      </w:r>
    </w:p>
    <w:p>
      <w:pPr>
        <w:pBdr>
          <w:bottom w:val="single" w:color="2d5f8a" w:sz="2" w:space="0"/>
        </w:pBdr>
        <w:spacing w:after="20" w:before="20"/>
      </w:pPr>
    </w:p>
    <w:p>
      <w:pPr>
        <w:spacing w:after="300" w:before="140"/>
        <w:jc w:val="center"/>
      </w:pPr>
      <w:r>
        <w:rPr>
          <w:rFonts w:ascii="Cambria" w:cs="Cambria" w:eastAsia="Cambria" w:hAnsi="Cambria"/>
          <w:i/>
          <w:iCs/>
          <w:color w:val="555555"/>
          <w:sz w:val="22"/>
          <w:szCs w:val="22"/>
        </w:rPr>
        <w:t xml:space="preserve">la nivel susceptibil dar admisibil</w:t>
      </w:r>
    </w:p>
    <w:p>
      <w:pPr>
        <w:spacing w:after="40"/>
        <w:jc w:val="center"/>
      </w:pPr>
      <w:r>
        <w:rPr>
          <w:rFonts w:ascii="Calibri" w:cs="Calibri" w:eastAsia="Calibri" w:hAnsi="Calibri"/>
          <w:b/>
          <w:bCs/>
          <w:color w:val="1a1a2e"/>
          <w:sz w:val="24"/>
          <w:szCs w:val="24"/>
        </w:rPr>
        <w:t xml:space="preserve">Mihai Roșca</w:t>
      </w:r>
    </w:p>
    <w:p>
      <w:pPr>
        <w:spacing w:after="40"/>
        <w:jc w:val="center"/>
      </w:pPr>
      <w:r>
        <w:rPr>
          <w:rFonts w:ascii="Cambria" w:cs="Cambria" w:eastAsia="Cambria" w:hAnsi="Cambria"/>
          <w:color w:val="555555"/>
          <w:sz w:val="19"/>
          <w:szCs w:val="19"/>
        </w:rPr>
        <w:t xml:space="preserve">BRIDGRAI / REAI  —  Independent Researcher</w:t>
      </w:r>
    </w:p>
    <w:p>
      <w:pPr>
        <w:spacing w:after="40"/>
        <w:jc w:val="center"/>
      </w:pPr>
      <w:r>
        <w:rPr>
          <w:rFonts w:ascii="Cambria" w:cs="Cambria" w:eastAsia="Cambria" w:hAnsi="Cambria"/>
          <w:color w:val="555555"/>
          <w:sz w:val="19"/>
          <w:szCs w:val="19"/>
        </w:rPr>
        <w:t xml:space="preserve">Timișoara &amp; Spiru Haret (Brăila), Romania</w:t>
      </w:r>
    </w:p>
    <w:p>
      <w:pPr>
        <w:spacing w:after="300"/>
        <w:jc w:val="center"/>
      </w:pPr>
      <w:r>
        <w:rPr>
          <w:rFonts w:ascii="Cambria" w:cs="Cambria" w:eastAsia="Cambria" w:hAnsi="Cambria"/>
          <w:color w:val="2d5f8a"/>
          <w:sz w:val="19"/>
          <w:szCs w:val="19"/>
        </w:rPr>
        <w:t xml:space="preserve">mihairosca1982@gmail.com</w:t>
      </w:r>
    </w:p>
    <w:p>
      <w:pPr>
        <w:spacing w:after="60"/>
        <w:jc w:val="center"/>
      </w:pPr>
      <w:r>
        <w:rPr>
          <w:rFonts w:ascii="Cambria" w:cs="Cambria" w:eastAsia="Cambria" w:hAnsi="Cambria"/>
          <w:color w:val="888888"/>
          <w:sz w:val="19"/>
          <w:szCs w:val="19"/>
        </w:rPr>
        <w:t xml:space="preserve">August 2026  —  v1.0</w:t>
      </w:r>
    </w:p>
    <w:p>
      <w:pPr>
        <w:spacing w:after="0"/>
        <w:jc w:val="center"/>
      </w:pPr>
      <w:r>
        <w:rPr>
          <w:rFonts w:ascii="Calibri" w:cs="Calibri" w:eastAsia="Calibri" w:hAnsi="Calibri"/>
          <w:b/>
          <w:bCs/>
          <w:color w:val="8B0000"/>
          <w:sz w:val="15"/>
          <w:szCs w:val="15"/>
        </w:rPr>
        <w:t xml:space="preserve">BRIDGRAI / ami* Ecosystem  —  Commercial License  —  All Rights Reserved</w:t>
      </w:r>
    </w:p>
    <w:p>
      <w:pPr>
        <w:pageBreakBefore/>
      </w:pPr>
      <w:r>
        <w:br/>
      </w:r>
    </w:p>
    <w:p>
      <w:pPr>
        <w:pStyle w:val="Heading1"/>
        <w:pBdr>
          <w:bottom w:val="single" w:color="2d5f8a" w:sz="2" w:space="4"/>
        </w:pBdr>
        <w:spacing w:after="140" w:before="360"/>
      </w:pPr>
      <w:r>
        <w:rPr>
          <w:rFonts w:ascii="Calibri" w:cs="Calibri" w:eastAsia="Calibri" w:hAnsi="Calibri"/>
          <w:b/>
          <w:bCs/>
          <w:color w:val="1a1a2e"/>
          <w:sz w:val="26"/>
          <w:szCs w:val="26"/>
        </w:rPr>
        <w:t xml:space="preserve">Preambul</w:t>
      </w:r>
    </w:p>
    <w:p>
      <w:pPr>
        <w:spacing w:after="160" w:before="0" w:line="290"/>
        <w:jc w:val="both"/>
      </w:pPr>
      <w:r>
        <w:rPr>
          <w:rFonts w:ascii="Cambria" w:cs="Cambria" w:eastAsia="Cambria" w:hAnsi="Cambria"/>
          <w:color w:val="333333"/>
          <w:sz w:val="21"/>
          <w:szCs w:val="21"/>
        </w:rPr>
        <w:t xml:space="preserve">Acest document descrie </w:t>
      </w:r>
      <w:r>
        <w:rPr>
          <w:rFonts w:ascii="Cambria" w:cs="Cambria" w:eastAsia="Cambria" w:hAnsi="Cambria"/>
          <w:b/>
          <w:bCs/>
          <w:color w:val="333333"/>
          <w:sz w:val="21"/>
          <w:szCs w:val="21"/>
        </w:rPr>
        <w:t xml:space="preserve">DSEI</w:t>
      </w:r>
      <w:r>
        <w:rPr>
          <w:rFonts w:ascii="Cambria" w:cs="Cambria" w:eastAsia="Cambria" w:hAnsi="Cambria"/>
          <w:color w:val="333333"/>
          <w:sz w:val="21"/>
          <w:szCs w:val="21"/>
        </w:rPr>
        <w:t xml:space="preserve"> (Discrete System of Ethical Integration) — un sistem discret de integrare etică proiectat să fie recepționabil la nivel susceptibil dar admisibil. Sistemul nu predică și nu impune. El operează la nivelul la care etica devine vizibilă nu prin declarații, ci prin comportamentul structural al codului.</w:t>
      </w:r>
    </w:p>
    <w:p>
      <w:pPr>
        <w:spacing w:after="160" w:before="0" w:line="290"/>
        <w:jc w:val="both"/>
      </w:pPr>
      <w:r>
        <w:rPr>
          <w:rFonts w:ascii="Cambria" w:cs="Cambria" w:eastAsia="Cambria" w:hAnsi="Cambria"/>
          <w:color w:val="333333"/>
          <w:sz w:val="21"/>
          <w:szCs w:val="21"/>
        </w:rPr>
        <w:t xml:space="preserve">DSEI nu este un manifest. Nu este un cadru de conformitate. Nu este o listă de principii pe care să le semnezi și să le uiți.</w:t>
      </w:r>
    </w:p>
    <w:p>
      <w:pPr>
        <w:spacing w:after="160" w:before="0" w:line="290"/>
        <w:jc w:val="both"/>
      </w:pPr>
      <w:r>
        <w:rPr>
          <w:rFonts w:ascii="Cambria" w:cs="Cambria" w:eastAsia="Cambria" w:hAnsi="Cambria"/>
          <w:color w:val="333333"/>
          <w:sz w:val="21"/>
          <w:szCs w:val="21"/>
        </w:rPr>
        <w:t xml:space="preserve">DSEI este un </w:t>
      </w:r>
      <w:r>
        <w:rPr>
          <w:rFonts w:ascii="Cambria" w:cs="Cambria" w:eastAsia="Cambria" w:hAnsi="Cambria"/>
          <w:b/>
          <w:bCs/>
          <w:color w:val="333333"/>
          <w:sz w:val="21"/>
          <w:szCs w:val="21"/>
        </w:rPr>
        <w:t xml:space="preserve">sistem ingineresc</w:t>
      </w:r>
      <w:r>
        <w:rPr>
          <w:rFonts w:ascii="Cambria" w:cs="Cambria" w:eastAsia="Cambria" w:hAnsi="Cambria"/>
          <w:color w:val="333333"/>
          <w:sz w:val="21"/>
          <w:szCs w:val="21"/>
        </w:rPr>
        <w:t xml:space="preserve"> în care etica este gravată în teste, în arhitectură, în refuzurile codului de a face anumite lucruri. Nu poți dezactiva etica fără să spargi testele. Nu poți ocoli protecțiile fără să modifici motorul. Acesta este înțelesul lui </w:t>
      </w:r>
      <w:r>
        <w:rPr>
          <w:rFonts w:ascii="Cambria" w:cs="Cambria" w:eastAsia="Cambria" w:hAnsi="Cambria"/>
          <w:i/>
          <w:iCs/>
          <w:color w:val="555555"/>
          <w:sz w:val="21"/>
          <w:szCs w:val="21"/>
        </w:rPr>
        <w:t xml:space="preserve">discret</w:t>
      </w:r>
      <w:r>
        <w:rPr>
          <w:rFonts w:ascii="Cambria" w:cs="Cambria" w:eastAsia="Cambria" w:hAnsi="Cambria"/>
          <w:color w:val="333333"/>
          <w:sz w:val="21"/>
          <w:szCs w:val="21"/>
        </w:rPr>
        <w:t xml:space="preserve">: etica nu strigă. Etica funcționează.</w:t>
      </w:r>
    </w:p>
    <w:p>
      <w:pPr>
        <w:pBdr>
          <w:left w:val="single" w:color="2d5f8a" w:sz="3" w:space="8"/>
        </w:pBdr>
        <w:spacing w:after="160" w:before="80"/>
        <w:ind w:left="576" w:right="576"/>
      </w:pPr>
      <w:r>
        <w:rPr>
          <w:rFonts w:ascii="Cambria" w:cs="Cambria" w:eastAsia="Cambria" w:hAnsi="Cambria"/>
          <w:i/>
          <w:iCs/>
          <w:color w:val="555555"/>
          <w:sz w:val="21"/>
          <w:szCs w:val="21"/>
        </w:rPr>
        <w:t xml:space="preserve">Discret nu înseamnă ascuns. Înseamnă că nu trebuie să spui că ești etic. Trebuie să construiești așa.</w:t>
      </w:r>
    </w:p>
    <w:p>
      <w:pPr>
        <w:pStyle w:val="Heading1"/>
        <w:pBdr>
          <w:bottom w:val="single" w:color="2d5f8a" w:sz="2" w:space="4"/>
        </w:pBdr>
        <w:spacing w:after="140" w:before="360"/>
      </w:pPr>
      <w:r>
        <w:rPr>
          <w:rFonts w:ascii="Calibri" w:cs="Calibri" w:eastAsia="Calibri" w:hAnsi="Calibri"/>
          <w:b/>
          <w:bCs/>
          <w:color w:val="1a1a2e"/>
          <w:sz w:val="26"/>
          <w:szCs w:val="26"/>
        </w:rPr>
        <w:t xml:space="preserve">1. Teza Centrală</w:t>
      </w:r>
    </w:p>
    <w:p>
      <w:pPr>
        <w:spacing w:after="160" w:before="0" w:line="290"/>
        <w:jc w:val="both"/>
      </w:pPr>
      <w:r>
        <w:rPr>
          <w:rFonts w:ascii="Cambria" w:cs="Cambria" w:eastAsia="Cambria" w:hAnsi="Cambria"/>
          <w:color w:val="333333"/>
          <w:sz w:val="21"/>
          <w:szCs w:val="21"/>
        </w:rPr>
        <w:t xml:space="preserve">Etica în sistemele AI are o problemă de receptivitate. Dacă e prea agresivă, devine moralizatoare și e respinsă. Dacă e prea slabă, devine decorativă și e ignorată. Există un </w:t>
      </w:r>
      <w:r>
        <w:rPr>
          <w:rFonts w:ascii="Cambria" w:cs="Cambria" w:eastAsia="Cambria" w:hAnsi="Cambria"/>
          <w:b/>
          <w:bCs/>
          <w:color w:val="333333"/>
          <w:sz w:val="21"/>
          <w:szCs w:val="21"/>
        </w:rPr>
        <w:t xml:space="preserve">nivel susceptibil dar admisibil</w:t>
      </w:r>
      <w:r>
        <w:rPr>
          <w:rFonts w:ascii="Cambria" w:cs="Cambria" w:eastAsia="Cambria" w:hAnsi="Cambria"/>
          <w:color w:val="333333"/>
          <w:sz w:val="21"/>
          <w:szCs w:val="21"/>
        </w:rPr>
        <w:t xml:space="preserve"> — punctul în care un sistem etic este acceptat nu pentru că e impus, ci pentru că are sens.</w:t>
      </w:r>
    </w:p>
    <w:p>
      <w:pPr>
        <w:spacing w:after="160" w:before="0" w:line="290"/>
        <w:jc w:val="both"/>
      </w:pPr>
      <w:r>
        <w:rPr>
          <w:rFonts w:ascii="Cambria" w:cs="Cambria" w:eastAsia="Cambria" w:hAnsi="Cambria"/>
          <w:color w:val="333333"/>
          <w:sz w:val="21"/>
          <w:szCs w:val="21"/>
        </w:rPr>
        <w:t xml:space="preserve">DSEI operează la acest punct. El integrează etica la trei niveluri:</w:t>
      </w:r>
    </w:p>
    <w:p>
      <w:pPr>
        <w:pStyle w:val="ListParagraph"/>
        <w:numPr>
          <w:ilvl w:val="0"/>
          <w:numId w:val="2"/>
        </w:numPr>
        <w:spacing w:after="10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Structural</w:t>
      </w:r>
      <w:r>
        <w:rPr>
          <w:rFonts w:ascii="Cambria" w:cs="Cambria" w:eastAsia="Cambria" w:hAnsi="Cambria"/>
          <w:color w:val="333333"/>
          <w:sz w:val="21"/>
          <w:szCs w:val="21"/>
        </w:rPr>
        <w:t xml:space="preserve"> — etica e în arhitectura codului (teste de gardă, refuzuri hard-coded, limitări de design)</w:t>
      </w:r>
    </w:p>
    <w:p>
      <w:pPr>
        <w:pStyle w:val="ListParagraph"/>
        <w:numPr>
          <w:ilvl w:val="0"/>
          <w:numId w:val="2"/>
        </w:numPr>
        <w:spacing w:after="10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Procedural</w:t>
      </w:r>
      <w:r>
        <w:rPr>
          <w:rFonts w:ascii="Cambria" w:cs="Cambria" w:eastAsia="Cambria" w:hAnsi="Cambria"/>
          <w:color w:val="333333"/>
          <w:sz w:val="21"/>
          <w:szCs w:val="21"/>
        </w:rPr>
        <w:t xml:space="preserve"> — etica e în procesul de decizie (dual-engine, concordanță, escaladare la om)</w:t>
      </w:r>
    </w:p>
    <w:p>
      <w:pPr>
        <w:pStyle w:val="ListParagraph"/>
        <w:numPr>
          <w:ilvl w:val="0"/>
          <w:numId w:val="2"/>
        </w:numPr>
        <w:spacing w:after="10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Relațional</w:t>
      </w:r>
      <w:r>
        <w:rPr>
          <w:rFonts w:ascii="Cambria" w:cs="Cambria" w:eastAsia="Cambria" w:hAnsi="Cambria"/>
          <w:color w:val="333333"/>
          <w:sz w:val="21"/>
          <w:szCs w:val="21"/>
        </w:rPr>
        <w:t xml:space="preserve"> — etica e în relația dintre sistem și utilizator (transparență concordanță %, refuz onest, zero dark patterns)</w:t>
      </w:r>
    </w:p>
    <w:p>
      <w:pPr>
        <w:spacing w:after="160" w:before="0" w:line="290"/>
        <w:jc w:val="both"/>
      </w:pPr>
      <w:r>
        <w:rPr>
          <w:rFonts w:ascii="Cambria" w:cs="Cambria" w:eastAsia="Cambria" w:hAnsi="Cambria"/>
          <w:color w:val="333333"/>
          <w:sz w:val="21"/>
          <w:szCs w:val="21"/>
        </w:rPr>
        <w:t xml:space="preserve">Cele trei niveluri formează un </w:t>
      </w:r>
      <w:r>
        <w:rPr>
          <w:rFonts w:ascii="Cambria" w:cs="Cambria" w:eastAsia="Cambria" w:hAnsi="Cambria"/>
          <w:b/>
          <w:bCs/>
          <w:color w:val="333333"/>
          <w:sz w:val="21"/>
          <w:szCs w:val="21"/>
        </w:rPr>
        <w:t xml:space="preserve">triunghi de integritate</w:t>
      </w:r>
      <w:r>
        <w:rPr>
          <w:rFonts w:ascii="Cambria" w:cs="Cambria" w:eastAsia="Cambria" w:hAnsi="Cambria"/>
          <w:color w:val="333333"/>
          <w:sz w:val="21"/>
          <w:szCs w:val="21"/>
        </w:rPr>
        <w:t xml:space="preserve"> în care fiecare latură o întărește pe cealaltă. Un sistem poate fi structural etic dar procedural corupt (teste bune, decizii proaste). Poate fi procedural corect dar relațional opac (procese bune, utilizator înșelat). DSEI cere toate trei simultan.</w:t>
      </w:r>
    </w:p>
    <w:p>
      <w:pPr>
        <w:pageBreakBefore/>
      </w:pPr>
      <w:r>
        <w:br/>
      </w:r>
    </w:p>
    <w:p>
      <w:pPr>
        <w:pStyle w:val="Heading1"/>
        <w:pBdr>
          <w:bottom w:val="single" w:color="2d5f8a" w:sz="2" w:space="4"/>
        </w:pBdr>
        <w:spacing w:after="140" w:before="360"/>
      </w:pPr>
      <w:r>
        <w:rPr>
          <w:rFonts w:ascii="Calibri" w:cs="Calibri" w:eastAsia="Calibri" w:hAnsi="Calibri"/>
          <w:b/>
          <w:bCs/>
          <w:color w:val="1a1a2e"/>
          <w:sz w:val="26"/>
          <w:szCs w:val="26"/>
        </w:rPr>
        <w:t xml:space="preserve">2. Cele Șapte Principii</w:t>
      </w:r>
    </w:p>
    <w:p>
      <w:pPr>
        <w:spacing w:after="160" w:before="0" w:line="290"/>
        <w:jc w:val="both"/>
      </w:pPr>
      <w:r>
        <w:rPr>
          <w:rFonts w:ascii="Cambria" w:cs="Cambria" w:eastAsia="Cambria" w:hAnsi="Cambria"/>
          <w:color w:val="333333"/>
          <w:sz w:val="21"/>
          <w:szCs w:val="21"/>
        </w:rPr>
        <w:t xml:space="preserve">DSEI se bazează pe șapte principii verificabile. Fiecare principiu are un </w:t>
      </w:r>
      <w:r>
        <w:rPr>
          <w:rFonts w:ascii="Cambria" w:cs="Cambria" w:eastAsia="Cambria" w:hAnsi="Cambria"/>
          <w:b/>
          <w:bCs/>
          <w:color w:val="333333"/>
          <w:sz w:val="21"/>
          <w:szCs w:val="21"/>
        </w:rPr>
        <w:t xml:space="preserve">test structural</w:t>
      </w:r>
      <w:r>
        <w:rPr>
          <w:rFonts w:ascii="Cambria" w:cs="Cambria" w:eastAsia="Cambria" w:hAnsi="Cambria"/>
          <w:color w:val="333333"/>
          <w:sz w:val="21"/>
          <w:szCs w:val="21"/>
        </w:rPr>
        <w:t xml:space="preserve"> asociat: o condiție care poate fi verificată automat și care, dacă eșuează, oprește deploy-ul.</w:t>
      </w:r>
    </w:p>
    <w:p>
      <w:pPr>
        <w:shd w:fill="f0f4f8" w:val="clear"/>
        <w:spacing w:after="60" w:before="180"/>
        <w:ind w:left="215" w:right="215"/>
      </w:pPr>
      <w:r>
        <w:rPr>
          <w:rFonts w:ascii="Calibri" w:cs="Calibri" w:eastAsia="Calibri" w:hAnsi="Calibri"/>
          <w:b/>
          <w:bCs/>
          <w:color w:val="2d5f8a"/>
          <w:sz w:val="21"/>
          <w:szCs w:val="21"/>
        </w:rPr>
        <w:t xml:space="preserve">Principiul I: </w:t>
      </w:r>
      <w:r>
        <w:rPr>
          <w:rFonts w:ascii="Calibri" w:cs="Calibri" w:eastAsia="Calibri" w:hAnsi="Calibri"/>
          <w:b/>
          <w:bCs/>
          <w:color w:val="1a1a2e"/>
          <w:sz w:val="21"/>
          <w:szCs w:val="21"/>
        </w:rPr>
        <w:t xml:space="preserve">Refuzul Onest</w:t>
      </w:r>
    </w:p>
    <w:p>
      <w:pPr>
        <w:spacing w:after="120" w:before="0" w:line="290"/>
        <w:jc w:val="both"/>
      </w:pPr>
      <w:r>
        <w:rPr>
          <w:rFonts w:ascii="Cambria" w:cs="Cambria" w:eastAsia="Cambria" w:hAnsi="Cambria"/>
          <w:color w:val="333333"/>
          <w:sz w:val="21"/>
          <w:szCs w:val="21"/>
        </w:rPr>
        <w:t xml:space="preserve">Sistemul TREBUIE să refuze mai degrabă decât să confabuleze. Când cele două motoare AI nu sunt de acord, răspunsul este „nu știu”, nu o medie a două răspunsuri diferite. Test structural: outputul NU conține cifre fabricate când concordanța &lt; 92%. Implementare: dual-engine anti-confabulație (AmiDor, UKBE Core).</w:t>
      </w:r>
    </w:p>
    <w:p>
      <w:pPr>
        <w:shd w:fill="f0f4f8" w:val="clear"/>
        <w:spacing w:after="60" w:before="180"/>
        <w:ind w:left="215" w:right="215"/>
      </w:pPr>
      <w:r>
        <w:rPr>
          <w:rFonts w:ascii="Calibri" w:cs="Calibri" w:eastAsia="Calibri" w:hAnsi="Calibri"/>
          <w:b/>
          <w:bCs/>
          <w:color w:val="2d5f8a"/>
          <w:sz w:val="21"/>
          <w:szCs w:val="21"/>
        </w:rPr>
        <w:t xml:space="preserve">Principiul II: </w:t>
      </w:r>
      <w:r>
        <w:rPr>
          <w:rFonts w:ascii="Calibri" w:cs="Calibri" w:eastAsia="Calibri" w:hAnsi="Calibri"/>
          <w:b/>
          <w:bCs/>
          <w:color w:val="1a1a2e"/>
          <w:sz w:val="21"/>
          <w:szCs w:val="21"/>
        </w:rPr>
        <w:t xml:space="preserve">Transparența Concordanței</w:t>
      </w:r>
    </w:p>
    <w:p>
      <w:pPr>
        <w:spacing w:after="120" w:before="0" w:line="290"/>
        <w:jc w:val="both"/>
      </w:pPr>
      <w:r>
        <w:rPr>
          <w:rFonts w:ascii="Cambria" w:cs="Cambria" w:eastAsia="Cambria" w:hAnsi="Cambria"/>
          <w:color w:val="333333"/>
          <w:sz w:val="21"/>
          <w:szCs w:val="21"/>
        </w:rPr>
        <w:t xml:space="preserve">Fiecare răspuns al sistemului TREBUIE să afișeze procentul de concordanță dintre cele două motoare. Utilizatorul nu trebuie să ghicească cât de sigur este sistemul. Test structural: UI-ul conține întotdeauna elementul concordance_display. Implementare: concordanță % vizibilă pe fiecare răspuns.</w:t>
      </w:r>
    </w:p>
    <w:p>
      <w:pPr>
        <w:shd w:fill="f0f4f8" w:val="clear"/>
        <w:spacing w:after="60" w:before="180"/>
        <w:ind w:left="215" w:right="215"/>
      </w:pPr>
      <w:r>
        <w:rPr>
          <w:rFonts w:ascii="Calibri" w:cs="Calibri" w:eastAsia="Calibri" w:hAnsi="Calibri"/>
          <w:b/>
          <w:bCs/>
          <w:color w:val="2d5f8a"/>
          <w:sz w:val="21"/>
          <w:szCs w:val="21"/>
        </w:rPr>
        <w:t xml:space="preserve">Principiul III: </w:t>
      </w:r>
      <w:r>
        <w:rPr>
          <w:rFonts w:ascii="Calibri" w:cs="Calibri" w:eastAsia="Calibri" w:hAnsi="Calibri"/>
          <w:b/>
          <w:bCs/>
          <w:color w:val="1a1a2e"/>
          <w:sz w:val="21"/>
          <w:szCs w:val="21"/>
        </w:rPr>
        <w:t xml:space="preserve">Escaladarea la Om</w:t>
      </w:r>
    </w:p>
    <w:p>
      <w:pPr>
        <w:spacing w:after="120" w:before="0" w:line="290"/>
        <w:jc w:val="both"/>
      </w:pPr>
      <w:r>
        <w:rPr>
          <w:rFonts w:ascii="Cambria" w:cs="Cambria" w:eastAsia="Cambria" w:hAnsi="Cambria"/>
          <w:color w:val="333333"/>
          <w:sz w:val="21"/>
          <w:szCs w:val="21"/>
        </w:rPr>
        <w:t xml:space="preserve">Când sistemul detectă o situație care depășește parametrii săi de competență, TREBUIE să escaladeze la un om. Nu este un eșec — este o funcționalitate. Test structural: agent-ul de arbitraj NU are câmp de verdict în output; orice decizie finală revine omului. Implementare: Arbitration Support (amidor-engine).</w:t>
      </w:r>
    </w:p>
    <w:p>
      <w:pPr>
        <w:shd w:fill="f0f4f8" w:val="clear"/>
        <w:spacing w:after="60" w:before="180"/>
        <w:ind w:left="215" w:right="215"/>
      </w:pPr>
      <w:r>
        <w:rPr>
          <w:rFonts w:ascii="Calibri" w:cs="Calibri" w:eastAsia="Calibri" w:hAnsi="Calibri"/>
          <w:b/>
          <w:bCs/>
          <w:color w:val="2d5f8a"/>
          <w:sz w:val="21"/>
          <w:szCs w:val="21"/>
        </w:rPr>
        <w:t xml:space="preserve">Principiul IV: </w:t>
      </w:r>
      <w:r>
        <w:rPr>
          <w:rFonts w:ascii="Calibri" w:cs="Calibri" w:eastAsia="Calibri" w:hAnsi="Calibri"/>
          <w:b/>
          <w:bCs/>
          <w:color w:val="1a1a2e"/>
          <w:sz w:val="21"/>
          <w:szCs w:val="21"/>
        </w:rPr>
        <w:t xml:space="preserve">Anti-Dependența</w:t>
      </w:r>
    </w:p>
    <w:p>
      <w:pPr>
        <w:spacing w:after="120" w:before="0" w:line="290"/>
        <w:jc w:val="both"/>
      </w:pPr>
      <w:r>
        <w:rPr>
          <w:rFonts w:ascii="Cambria" w:cs="Cambria" w:eastAsia="Cambria" w:hAnsi="Cambria"/>
          <w:color w:val="333333"/>
          <w:sz w:val="21"/>
          <w:szCs w:val="21"/>
        </w:rPr>
        <w:t xml:space="preserve">Sistemele care interacționează cu minori TREBUIE să aibă mecanisme hard-stop de anti-dependență. Engagement maxim NU justifică sesiune prelungită. Test structural: NU există metodă de prelungire a sesiunii peste bugetul de atenție; zero dark patterns. Implementare: Adaptive Pacer (KinderAGI).</w:t>
      </w:r>
    </w:p>
    <w:p>
      <w:pPr>
        <w:shd w:fill="f0f4f8" w:val="clear"/>
        <w:spacing w:after="60" w:before="180"/>
        <w:ind w:left="215" w:right="215"/>
      </w:pPr>
      <w:r>
        <w:rPr>
          <w:rFonts w:ascii="Calibri" w:cs="Calibri" w:eastAsia="Calibri" w:hAnsi="Calibri"/>
          <w:b/>
          <w:bCs/>
          <w:color w:val="2d5f8a"/>
          <w:sz w:val="21"/>
          <w:szCs w:val="21"/>
        </w:rPr>
        <w:t xml:space="preserve">Principiul V: </w:t>
      </w:r>
      <w:r>
        <w:rPr>
          <w:rFonts w:ascii="Calibri" w:cs="Calibri" w:eastAsia="Calibri" w:hAnsi="Calibri"/>
          <w:b/>
          <w:bCs/>
          <w:color w:val="1a1a2e"/>
          <w:sz w:val="21"/>
          <w:szCs w:val="21"/>
        </w:rPr>
        <w:t xml:space="preserve">Minimizarea Datelor</w:t>
      </w:r>
    </w:p>
    <w:p>
      <w:pPr>
        <w:spacing w:after="120" w:before="0" w:line="290"/>
        <w:jc w:val="both"/>
      </w:pPr>
      <w:r>
        <w:rPr>
          <w:rFonts w:ascii="Cambria" w:cs="Cambria" w:eastAsia="Cambria" w:hAnsi="Cambria"/>
          <w:color w:val="333333"/>
          <w:sz w:val="21"/>
          <w:szCs w:val="21"/>
        </w:rPr>
        <w:t xml:space="preserve">Sistemul colectează DOAR datele strict necesare funcționării. Alertele de securitate conțin categorie și nivel, NU conținut conversație. Logurile păstrează evenimentul, nu persoana. Test structural: obiectul de alertă NU conține câmpuri de conținut text. Implementare: GDPR by design (AmiDor Sprint 4).</w:t>
      </w:r>
    </w:p>
    <w:p>
      <w:pPr>
        <w:shd w:fill="f0f4f8" w:val="clear"/>
        <w:spacing w:after="60" w:before="180"/>
        <w:ind w:left="215" w:right="215"/>
      </w:pPr>
      <w:r>
        <w:rPr>
          <w:rFonts w:ascii="Calibri" w:cs="Calibri" w:eastAsia="Calibri" w:hAnsi="Calibri"/>
          <w:b/>
          <w:bCs/>
          <w:color w:val="2d5f8a"/>
          <w:sz w:val="21"/>
          <w:szCs w:val="21"/>
        </w:rPr>
        <w:t xml:space="preserve">Principiul VI: </w:t>
      </w:r>
      <w:r>
        <w:rPr>
          <w:rFonts w:ascii="Calibri" w:cs="Calibri" w:eastAsia="Calibri" w:hAnsi="Calibri"/>
          <w:b/>
          <w:bCs/>
          <w:color w:val="1a1a2e"/>
          <w:sz w:val="21"/>
          <w:szCs w:val="21"/>
        </w:rPr>
        <w:t xml:space="preserve">Detectarea Manipulării</w:t>
      </w:r>
    </w:p>
    <w:p>
      <w:pPr>
        <w:spacing w:after="120" w:before="0" w:line="290"/>
        <w:jc w:val="both"/>
      </w:pPr>
      <w:r>
        <w:rPr>
          <w:rFonts w:ascii="Cambria" w:cs="Cambria" w:eastAsia="Cambria" w:hAnsi="Cambria"/>
          <w:color w:val="333333"/>
          <w:sz w:val="21"/>
          <w:szCs w:val="21"/>
        </w:rPr>
        <w:t xml:space="preserve">Sistemul TREBUIE să detecteze tentativele de manipulare pe 6 axe (emoțional, logic, autoritate, urgență, social, framing) și să alerteze utilizatorul. Manipularea nu e doar o problemă de securitate — e o problemă etică. Test structural: TVE Core detectează și raportează fiecare axă independent. Implementare: Truth Vector Engine, 32/32 teste.</w:t>
      </w:r>
    </w:p>
    <w:p>
      <w:pPr>
        <w:shd w:fill="f0f4f8" w:val="clear"/>
        <w:spacing w:after="60" w:before="180"/>
        <w:ind w:left="215" w:right="215"/>
      </w:pPr>
      <w:r>
        <w:rPr>
          <w:rFonts w:ascii="Calibri" w:cs="Calibri" w:eastAsia="Calibri" w:hAnsi="Calibri"/>
          <w:b/>
          <w:bCs/>
          <w:color w:val="2d5f8a"/>
          <w:sz w:val="21"/>
          <w:szCs w:val="21"/>
        </w:rPr>
        <w:t xml:space="preserve">Principiul VII: </w:t>
      </w:r>
      <w:r>
        <w:rPr>
          <w:rFonts w:ascii="Calibri" w:cs="Calibri" w:eastAsia="Calibri" w:hAnsi="Calibri"/>
          <w:b/>
          <w:bCs/>
          <w:color w:val="1a1a2e"/>
          <w:sz w:val="21"/>
          <w:szCs w:val="21"/>
        </w:rPr>
        <w:t xml:space="preserve">Ancora Umană</w:t>
      </w:r>
    </w:p>
    <w:p>
      <w:pPr>
        <w:spacing w:after="120" w:before="0" w:line="290"/>
        <w:jc w:val="both"/>
      </w:pPr>
      <w:r>
        <w:rPr>
          <w:rFonts w:ascii="Cambria" w:cs="Cambria" w:eastAsia="Cambria" w:hAnsi="Cambria"/>
          <w:color w:val="333333"/>
          <w:sz w:val="21"/>
          <w:szCs w:val="21"/>
        </w:rPr>
        <w:t xml:space="preserve">Orice lanț de comunicare AI-AI TREBUIE să fie trasabil la o intenție umană semnată criptografic. AI-ul poate genera, transforma, raționa. Poate acționa DOAR când acțiunea e anchorată într-o declarație umană verificabilă. Test structural: fiecare mesaj A2A conține intent_hash semnat care referă ancora umană. Implementare: Human-Anchor Principle (AmiGibberishAI, BRIDGRAI A2A).</w:t>
      </w:r>
    </w:p>
    <w:p>
      <w:pPr>
        <w:pageBreakBefore/>
      </w:pPr>
      <w:r>
        <w:br/>
      </w:r>
    </w:p>
    <w:p>
      <w:pPr>
        <w:pStyle w:val="Heading1"/>
        <w:pBdr>
          <w:bottom w:val="single" w:color="2d5f8a" w:sz="2" w:space="4"/>
        </w:pBdr>
        <w:spacing w:after="140" w:before="360"/>
      </w:pPr>
      <w:r>
        <w:rPr>
          <w:rFonts w:ascii="Calibri" w:cs="Calibri" w:eastAsia="Calibri" w:hAnsi="Calibri"/>
          <w:b/>
          <w:bCs/>
          <w:color w:val="1a1a2e"/>
          <w:sz w:val="26"/>
          <w:szCs w:val="26"/>
        </w:rPr>
        <w:t xml:space="preserve">3. Arhitectura DSEI</w:t>
      </w:r>
    </w:p>
    <w:p>
      <w:pPr>
        <w:pStyle w:val="Heading2"/>
        <w:spacing w:after="100" w:before="260"/>
      </w:pPr>
      <w:r>
        <w:rPr>
          <w:rFonts w:ascii="Calibri" w:cs="Calibri" w:eastAsia="Calibri" w:hAnsi="Calibri"/>
          <w:b/>
          <w:bCs/>
          <w:color w:val="2d5f8a"/>
          <w:sz w:val="22"/>
          <w:szCs w:val="22"/>
        </w:rPr>
        <w:t xml:space="preserve">3.1 Triunghiul de Integritate</w:t>
      </w:r>
    </w:p>
    <w:p>
      <w:pPr>
        <w:spacing w:after="160" w:before="0" w:line="290"/>
        <w:jc w:val="both"/>
      </w:pPr>
      <w:r>
        <w:rPr>
          <w:rFonts w:ascii="Cambria" w:cs="Cambria" w:eastAsia="Cambria" w:hAnsi="Cambria"/>
          <w:color w:val="333333"/>
          <w:sz w:val="21"/>
          <w:szCs w:val="21"/>
        </w:rPr>
        <w:t xml:space="preserve">Cele trei niveluri de integrare formează un triunghi echilateral în care fiecare latură depinde de celelalte două:</w:t>
      </w:r>
    </w:p>
    <w:p>
      <w:pPr>
        <w:spacing w:after="20" w:before="120"/>
        <w:jc w:val="center"/>
      </w:pPr>
      <w:r>
        <w:rPr>
          <w:rFonts w:ascii="Consolas" w:cs="Consolas" w:eastAsia="Consolas" w:hAnsi="Consolas"/>
          <w:b/>
          <w:bCs/>
          <w:color w:val="2d5f8a"/>
          <w:sz w:val="18"/>
          <w:szCs w:val="18"/>
        </w:rPr>
        <w:t xml:space="preserve">                    STRUCTURAL</w:t>
      </w:r>
    </w:p>
    <w:p>
      <w:pPr>
        <w:spacing w:after="20"/>
        <w:jc w:val="center"/>
      </w:pPr>
      <w:r>
        <w:rPr>
          <w:rFonts w:ascii="Consolas" w:cs="Consolas" w:eastAsia="Consolas" w:hAnsi="Consolas"/>
          <w:color w:val="888888"/>
          <w:sz w:val="18"/>
          <w:szCs w:val="18"/>
        </w:rPr>
        <w:t xml:space="preserve">                   /          \</w:t>
      </w:r>
    </w:p>
    <w:p>
      <w:pPr>
        <w:spacing w:after="20"/>
        <w:jc w:val="center"/>
      </w:pPr>
      <w:r>
        <w:rPr>
          <w:rFonts w:ascii="Consolas" w:cs="Consolas" w:eastAsia="Consolas" w:hAnsi="Consolas"/>
          <w:color w:val="888888"/>
          <w:sz w:val="18"/>
          <w:szCs w:val="18"/>
        </w:rPr>
        <w:t xml:space="preserve">                  /            \</w:t>
      </w:r>
    </w:p>
    <w:p>
      <w:pPr>
        <w:spacing w:after="20"/>
        <w:jc w:val="center"/>
      </w:pPr>
      <w:r>
        <w:rPr>
          <w:rFonts w:ascii="Consolas" w:cs="Consolas" w:eastAsia="Consolas" w:hAnsi="Consolas"/>
          <w:color w:val="888888"/>
          <w:sz w:val="18"/>
          <w:szCs w:val="18"/>
        </w:rPr>
        <w:t xml:space="preserve">                 /    DSEI       \</w:t>
      </w:r>
    </w:p>
    <w:p>
      <w:pPr>
        <w:spacing w:after="20"/>
        <w:jc w:val="center"/>
      </w:pPr>
      <w:r>
        <w:rPr>
          <w:rFonts w:ascii="Consolas" w:cs="Consolas" w:eastAsia="Consolas" w:hAnsi="Consolas"/>
          <w:color w:val="888888"/>
          <w:sz w:val="18"/>
          <w:szCs w:val="18"/>
        </w:rPr>
        <w:t xml:space="preserve">                /                 \</w:t>
      </w:r>
    </w:p>
    <w:p>
      <w:pPr>
        <w:spacing w:after="120"/>
        <w:jc w:val="center"/>
      </w:pPr>
      <w:r>
        <w:rPr>
          <w:rFonts w:ascii="Consolas" w:cs="Consolas" w:eastAsia="Consolas" w:hAnsi="Consolas"/>
          <w:b/>
          <w:bCs/>
          <w:color w:val="2d5f8a"/>
          <w:sz w:val="18"/>
          <w:szCs w:val="18"/>
        </w:rPr>
        <w:t xml:space="preserve">          PROCEDURAL ——————— RELAŢIONAL</w:t>
      </w:r>
    </w:p>
    <w:p>
      <w:pPr>
        <w:spacing w:after="160" w:before="0" w:line="290"/>
        <w:jc w:val="both"/>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Structural:</w:t>
      </w:r>
      <w:r>
        <w:rPr>
          <w:rFonts w:ascii="Cambria" w:cs="Cambria" w:eastAsia="Cambria" w:hAnsi="Cambria"/>
          <w:color w:val="333333"/>
          <w:sz w:val="21"/>
          <w:szCs w:val="21"/>
        </w:rPr>
        <w:t xml:space="preserve"> Teste de gardă, refuzuri hard-coded, constrângeri de design care nu pot fi dezactivate fără să spargi build-ul.</w:t>
      </w:r>
    </w:p>
    <w:p>
      <w:pPr>
        <w:spacing w:after="160" w:before="0" w:line="290"/>
        <w:jc w:val="both"/>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Procedural:</w:t>
      </w:r>
      <w:r>
        <w:rPr>
          <w:rFonts w:ascii="Cambria" w:cs="Cambria" w:eastAsia="Cambria" w:hAnsi="Cambria"/>
          <w:color w:val="333333"/>
          <w:sz w:val="21"/>
          <w:szCs w:val="21"/>
        </w:rPr>
        <w:t xml:space="preserve"> Procesul de decizie — dual-engine, concordanță, escaladare, anti-confabulație.</w:t>
      </w:r>
    </w:p>
    <w:p>
      <w:pPr>
        <w:spacing w:after="160" w:before="0" w:line="290"/>
        <w:jc w:val="both"/>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Relațional:</w:t>
      </w:r>
      <w:r>
        <w:rPr>
          <w:rFonts w:ascii="Cambria" w:cs="Cambria" w:eastAsia="Cambria" w:hAnsi="Cambria"/>
          <w:color w:val="333333"/>
          <w:sz w:val="21"/>
          <w:szCs w:val="21"/>
        </w:rPr>
        <w:t xml:space="preserve"> Interfața cu utilizatorul — transparență, onestitate, respect pentru autonomia omului.</w:t>
      </w:r>
    </w:p>
    <w:p>
      <w:pPr>
        <w:pStyle w:val="Heading2"/>
        <w:spacing w:after="100" w:before="260"/>
      </w:pPr>
      <w:r>
        <w:rPr>
          <w:rFonts w:ascii="Calibri" w:cs="Calibri" w:eastAsia="Calibri" w:hAnsi="Calibri"/>
          <w:b/>
          <w:bCs/>
          <w:color w:val="2d5f8a"/>
          <w:sz w:val="22"/>
          <w:szCs w:val="22"/>
        </w:rPr>
        <w:t xml:space="preserve">3.2 Nivelul Susceptibil-Admisibil</w:t>
      </w:r>
    </w:p>
    <w:p>
      <w:pPr>
        <w:spacing w:after="160" w:before="0" w:line="290"/>
        <w:jc w:val="both"/>
      </w:pPr>
      <w:r>
        <w:rPr>
          <w:rFonts w:ascii="Cambria" w:cs="Cambria" w:eastAsia="Cambria" w:hAnsi="Cambria"/>
          <w:color w:val="333333"/>
          <w:sz w:val="21"/>
          <w:szCs w:val="21"/>
        </w:rPr>
        <w:t xml:space="preserve">DSEI operează la ceea ce numim </w:t>
      </w:r>
      <w:r>
        <w:rPr>
          <w:rFonts w:ascii="Cambria" w:cs="Cambria" w:eastAsia="Cambria" w:hAnsi="Cambria"/>
          <w:b/>
          <w:bCs/>
          <w:color w:val="333333"/>
          <w:sz w:val="21"/>
          <w:szCs w:val="21"/>
        </w:rPr>
        <w:t xml:space="preserve">nivelul susceptibil-admisibil (NSA)</w:t>
      </w:r>
      <w:r>
        <w:rPr>
          <w:rFonts w:ascii="Cambria" w:cs="Cambria" w:eastAsia="Cambria" w:hAnsi="Cambria"/>
          <w:color w:val="333333"/>
          <w:sz w:val="21"/>
          <w:szCs w:val="21"/>
        </w:rPr>
        <w:t xml:space="preserve">. Acest nivel se definește prin două condiții simultane:</w:t>
      </w:r>
    </w:p>
    <w:p>
      <w:pPr>
        <w:spacing w:after="160" w:before="0" w:line="290"/>
        <w:jc w:val="both"/>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Susceptibilitate:</w:t>
      </w:r>
      <w:r>
        <w:rPr>
          <w:rFonts w:ascii="Cambria" w:cs="Cambria" w:eastAsia="Cambria" w:hAnsi="Cambria"/>
          <w:color w:val="333333"/>
          <w:sz w:val="21"/>
          <w:szCs w:val="21"/>
        </w:rPr>
        <w:t xml:space="preserve"> Sistemul etic trebuie să fie acceptat de utilizator. Un sistem etic care e respins e inutil. Susceptibilitatea se obține nu prin moralizări, ci prin utilitate: sistemul etic te protejează, te informează, te respectă.</w:t>
      </w:r>
    </w:p>
    <w:p>
      <w:pPr>
        <w:spacing w:after="160" w:before="0" w:line="290"/>
        <w:jc w:val="both"/>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Admisibilitate:</w:t>
      </w:r>
      <w:r>
        <w:rPr>
          <w:rFonts w:ascii="Cambria" w:cs="Cambria" w:eastAsia="Cambria" w:hAnsi="Cambria"/>
          <w:color w:val="333333"/>
          <w:sz w:val="21"/>
          <w:szCs w:val="21"/>
        </w:rPr>
        <w:t xml:space="preserve"> Sistemul etic trebuie să fie valid din punct de vedere formal. Admisibilitatea se obține prin conformitate cu cadre legale (EU AI Act, GDPR), standarde tehnice (NIST AI RMF), și verificabilitate (teste automate, audituri, blockchain).</w:t>
      </w:r>
    </w:p>
    <w:p>
      <w:pPr>
        <w:spacing w:after="160" w:before="0" w:line="290"/>
        <w:jc w:val="both"/>
      </w:pPr>
      <w:r>
        <w:rPr>
          <w:rFonts w:ascii="Cambria" w:cs="Cambria" w:eastAsia="Cambria" w:hAnsi="Cambria"/>
          <w:color w:val="333333"/>
          <w:sz w:val="21"/>
          <w:szCs w:val="21"/>
        </w:rPr>
        <w:t xml:space="preserve">Intersecția celor două definește </w:t>
      </w:r>
      <w:r>
        <w:rPr>
          <w:rFonts w:ascii="Cambria" w:cs="Cambria" w:eastAsia="Cambria" w:hAnsi="Cambria"/>
          <w:b/>
          <w:bCs/>
          <w:color w:val="333333"/>
          <w:sz w:val="21"/>
          <w:szCs w:val="21"/>
        </w:rPr>
        <w:t xml:space="preserve">zona DSEI</w:t>
      </w:r>
      <w:r>
        <w:rPr>
          <w:rFonts w:ascii="Cambria" w:cs="Cambria" w:eastAsia="Cambria" w:hAnsi="Cambria"/>
          <w:color w:val="333333"/>
          <w:sz w:val="21"/>
          <w:szCs w:val="21"/>
        </w:rPr>
        <w:t xml:space="preserve">: suficient de subtilă încât să nu fie respinsă, suficient de riguroasă încât să nu fie contestată.</w:t>
      </w:r>
    </w:p>
    <w:p>
      <w:pPr>
        <w:pStyle w:val="Heading2"/>
        <w:spacing w:after="100" w:before="260"/>
      </w:pPr>
      <w:r>
        <w:rPr>
          <w:rFonts w:ascii="Calibri" w:cs="Calibri" w:eastAsia="Calibri" w:hAnsi="Calibri"/>
          <w:b/>
          <w:bCs/>
          <w:color w:val="2d5f8a"/>
          <w:sz w:val="22"/>
          <w:szCs w:val="22"/>
        </w:rPr>
        <w:t xml:space="preserve">3.3 Mecanismul de Discreție</w:t>
      </w:r>
    </w:p>
    <w:p>
      <w:pPr>
        <w:spacing w:after="160" w:before="0" w:line="290"/>
        <w:jc w:val="both"/>
      </w:pPr>
      <w:r>
        <w:rPr>
          <w:rFonts w:ascii="Cambria" w:cs="Cambria" w:eastAsia="Cambria" w:hAnsi="Cambria"/>
          <w:color w:val="333333"/>
          <w:sz w:val="21"/>
          <w:szCs w:val="21"/>
        </w:rPr>
        <w:t xml:space="preserve">Discreția în DSEI nu înseamnă ascundere. Înseamnă că etica nu se anunță pe sine — se demonstrează prin funcționare. Mecanismul:</w:t>
      </w:r>
    </w:p>
    <w:p>
      <w:pPr>
        <w:pStyle w:val="ListParagraph"/>
        <w:numPr>
          <w:ilvl w:val="0"/>
          <w:numId w:val="3"/>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Etica gravată în teste.</w:t>
      </w:r>
      <w:r>
        <w:rPr>
          <w:rFonts w:ascii="Cambria" w:cs="Cambria" w:eastAsia="Cambria" w:hAnsi="Cambria"/>
          <w:color w:val="333333"/>
          <w:sz w:val="21"/>
          <w:szCs w:val="21"/>
        </w:rPr>
        <w:t xml:space="preserve"> Fiecare principiu are cel puțin un test structural care verifică respectarea lui. Testele rulează la fiecare build. Dacă un test etic eșuează, build-ul eșuează.</w:t>
      </w:r>
    </w:p>
    <w:p>
      <w:pPr>
        <w:pStyle w:val="ListParagraph"/>
        <w:numPr>
          <w:ilvl w:val="0"/>
          <w:numId w:val="3"/>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Etica gravată în refuzuri.</w:t>
      </w:r>
      <w:r>
        <w:rPr>
          <w:rFonts w:ascii="Cambria" w:cs="Cambria" w:eastAsia="Cambria" w:hAnsi="Cambria"/>
          <w:color w:val="333333"/>
          <w:sz w:val="21"/>
          <w:szCs w:val="21"/>
        </w:rPr>
        <w:t xml:space="preserve"> Motorul NU are metodă de bypass pentru decizii etice. Nu există flag `--skip-ethics` sau `ETHICS_ENABLED=false`. Structura codului nu permite dezactivarea.</w:t>
      </w:r>
    </w:p>
    <w:p>
      <w:pPr>
        <w:pStyle w:val="ListParagraph"/>
        <w:numPr>
          <w:ilvl w:val="0"/>
          <w:numId w:val="3"/>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Etica gravată în transparență.</w:t>
      </w:r>
      <w:r>
        <w:rPr>
          <w:rFonts w:ascii="Cambria" w:cs="Cambria" w:eastAsia="Cambria" w:hAnsi="Cambria"/>
          <w:color w:val="333333"/>
          <w:sz w:val="21"/>
          <w:szCs w:val="21"/>
        </w:rPr>
        <w:t xml:space="preserve"> Concordanța % este vizibilă mereu. Sursa de informație este etichetată mereu. Incertitudinea este declarată mereu.</w:t>
      </w:r>
    </w:p>
    <w:p>
      <w:pPr>
        <w:pStyle w:val="ListParagraph"/>
        <w:numPr>
          <w:ilvl w:val="0"/>
          <w:numId w:val="3"/>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Etica verificabilă extern.</w:t>
      </w:r>
      <w:r>
        <w:rPr>
          <w:rFonts w:ascii="Cambria" w:cs="Cambria" w:eastAsia="Cambria" w:hAnsi="Cambria"/>
          <w:color w:val="333333"/>
          <w:sz w:val="21"/>
          <w:szCs w:val="21"/>
        </w:rPr>
        <w:t xml:space="preserve"> Componentele critice sunt open-source (Apache-2.0 sau AGPL-3.0) tocmai pentru a permite auditul. KinderAGI e Apache pentru că siguranța copiilor trebuie să fie auditabilă, nu secretizată.</w:t>
      </w:r>
    </w:p>
    <w:p>
      <w:pPr>
        <w:pageBreakBefore/>
      </w:pPr>
      <w:r>
        <w:br/>
      </w:r>
    </w:p>
    <w:p>
      <w:pPr>
        <w:pStyle w:val="Heading1"/>
        <w:pBdr>
          <w:bottom w:val="single" w:color="2d5f8a" w:sz="2" w:space="4"/>
        </w:pBdr>
        <w:spacing w:after="140" w:before="360"/>
      </w:pPr>
      <w:r>
        <w:rPr>
          <w:rFonts w:ascii="Calibri" w:cs="Calibri" w:eastAsia="Calibri" w:hAnsi="Calibri"/>
          <w:b/>
          <w:bCs/>
          <w:color w:val="1a1a2e"/>
          <w:sz w:val="26"/>
          <w:szCs w:val="26"/>
        </w:rPr>
        <w:t xml:space="preserve">4. Harta de Implementare</w:t>
      </w:r>
    </w:p>
    <w:p>
      <w:pPr>
        <w:spacing w:after="160" w:before="0" w:line="290"/>
        <w:jc w:val="both"/>
      </w:pPr>
      <w:r>
        <w:rPr>
          <w:rFonts w:ascii="Cambria" w:cs="Cambria" w:eastAsia="Cambria" w:hAnsi="Cambria"/>
          <w:color w:val="333333"/>
          <w:sz w:val="21"/>
          <w:szCs w:val="21"/>
        </w:rPr>
        <w:t xml:space="preserve">Fiecare principiu DSEI este implementat în produse concrete cu teste verificabile:</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W w:type="dxa" w:w="15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Principiu</w:t>
            </w:r>
          </w:p>
        </w:tc>
        <w:tc>
          <w:tcPr>
            <w:tcW w:type="dxa" w:w="28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Implementare</w:t>
            </w:r>
          </w:p>
        </w:tc>
        <w:tc>
          <w:tcPr>
            <w:tcW w:type="dxa" w:w="12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Teste</w:t>
            </w:r>
          </w:p>
        </w:tc>
        <w:tc>
          <w:tcPr>
            <w:tcW w:type="dxa" w:w="26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Produse</w:t>
            </w:r>
          </w:p>
        </w:tc>
      </w:tr>
      <w:tr>
        <w:tc>
          <w:tcPr>
            <w:tcW w:type="dxa" w:w="15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bCs/>
                <w:color w:val="333333"/>
                <w:sz w:val="17"/>
                <w:szCs w:val="17"/>
              </w:rPr>
              <w:t xml:space="preserve">I. Refuz Onest</w:t>
            </w:r>
          </w:p>
        </w:tc>
        <w:tc>
          <w:tcPr>
            <w:tcW w:type="dxa" w:w="28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Dual-engine anti-confabulație</w:t>
            </w:r>
          </w:p>
        </w:tc>
        <w:tc>
          <w:tcPr>
            <w:tcW w:type="dxa" w:w="12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1a6b4a"/>
                <w:sz w:val="17"/>
                <w:szCs w:val="17"/>
              </w:rPr>
              <w:t xml:space="preserve">12/12</w:t>
            </w:r>
          </w:p>
        </w:tc>
        <w:tc>
          <w:tcPr>
            <w:tcW w:type="dxa" w:w="26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AmiDor, UKBE Core</w:t>
            </w:r>
          </w:p>
        </w:tc>
      </w:tr>
      <w:tr>
        <w:tc>
          <w:tcPr>
            <w:tcW w:type="dxa" w:w="15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bCs/>
                <w:color w:val="333333"/>
                <w:sz w:val="17"/>
                <w:szCs w:val="17"/>
              </w:rPr>
              <w:t xml:space="preserve">II. Transparență</w:t>
            </w:r>
          </w:p>
        </w:tc>
        <w:tc>
          <w:tcPr>
            <w:tcW w:type="dxa" w:w="28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Concordanță % pe UI</w:t>
            </w:r>
          </w:p>
        </w:tc>
        <w:tc>
          <w:tcPr>
            <w:tcW w:type="dxa" w:w="12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1a6b4a"/>
                <w:sz w:val="17"/>
                <w:szCs w:val="17"/>
              </w:rPr>
              <w:t xml:space="preserve">Structural</w:t>
            </w:r>
          </w:p>
        </w:tc>
        <w:tc>
          <w:tcPr>
            <w:tcW w:type="dxa" w:w="26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AmiDor, AmiQiAI</w:t>
            </w:r>
          </w:p>
        </w:tc>
      </w:tr>
      <w:tr>
        <w:tc>
          <w:tcPr>
            <w:tcW w:type="dxa" w:w="15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bCs/>
                <w:color w:val="333333"/>
                <w:sz w:val="17"/>
                <w:szCs w:val="17"/>
              </w:rPr>
              <w:t xml:space="preserve">III. Escaladare</w:t>
            </w:r>
          </w:p>
        </w:tc>
        <w:tc>
          <w:tcPr>
            <w:tcW w:type="dxa" w:w="28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Fără câmp verdict</w:t>
            </w:r>
          </w:p>
        </w:tc>
        <w:tc>
          <w:tcPr>
            <w:tcW w:type="dxa" w:w="12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1a6b4a"/>
                <w:sz w:val="17"/>
                <w:szCs w:val="17"/>
              </w:rPr>
              <w:t xml:space="preserve">Structural</w:t>
            </w:r>
          </w:p>
        </w:tc>
        <w:tc>
          <w:tcPr>
            <w:tcW w:type="dxa" w:w="26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Arbitration Support</w:t>
            </w:r>
          </w:p>
        </w:tc>
      </w:tr>
      <w:tr>
        <w:tc>
          <w:tcPr>
            <w:tcW w:type="dxa" w:w="15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bCs/>
                <w:color w:val="333333"/>
                <w:sz w:val="17"/>
                <w:szCs w:val="17"/>
              </w:rPr>
              <w:t xml:space="preserve">IV. Anti-Dep.</w:t>
            </w:r>
          </w:p>
        </w:tc>
        <w:tc>
          <w:tcPr>
            <w:tcW w:type="dxa" w:w="28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Hard-stop, zero dark</w:t>
            </w:r>
          </w:p>
        </w:tc>
        <w:tc>
          <w:tcPr>
            <w:tcW w:type="dxa" w:w="12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1a6b4a"/>
                <w:sz w:val="17"/>
                <w:szCs w:val="17"/>
              </w:rPr>
              <w:t xml:space="preserve">Guard test</w:t>
            </w:r>
          </w:p>
        </w:tc>
        <w:tc>
          <w:tcPr>
            <w:tcW w:type="dxa" w:w="26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KinderAGI (Apache)</w:t>
            </w:r>
          </w:p>
        </w:tc>
      </w:tr>
      <w:tr>
        <w:tc>
          <w:tcPr>
            <w:tcW w:type="dxa" w:w="15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bCs/>
                <w:color w:val="333333"/>
                <w:sz w:val="17"/>
                <w:szCs w:val="17"/>
              </w:rPr>
              <w:t xml:space="preserve">V. Minimizare</w:t>
            </w:r>
          </w:p>
        </w:tc>
        <w:tc>
          <w:tcPr>
            <w:tcW w:type="dxa" w:w="28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Eveniment fără conținut</w:t>
            </w:r>
          </w:p>
        </w:tc>
        <w:tc>
          <w:tcPr>
            <w:tcW w:type="dxa" w:w="12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1a6b4a"/>
                <w:sz w:val="17"/>
                <w:szCs w:val="17"/>
              </w:rPr>
              <w:t xml:space="preserve">Structural</w:t>
            </w:r>
          </w:p>
        </w:tc>
        <w:tc>
          <w:tcPr>
            <w:tcW w:type="dxa" w:w="26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AmiDor Sprint 4</w:t>
            </w:r>
          </w:p>
        </w:tc>
      </w:tr>
      <w:tr>
        <w:tc>
          <w:tcPr>
            <w:tcW w:type="dxa" w:w="15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bCs/>
                <w:color w:val="333333"/>
                <w:sz w:val="17"/>
                <w:szCs w:val="17"/>
              </w:rPr>
              <w:t xml:space="preserve">VI. Anti-Manip.</w:t>
            </w:r>
          </w:p>
        </w:tc>
        <w:tc>
          <w:tcPr>
            <w:tcW w:type="dxa" w:w="28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TVE 6 axe</w:t>
            </w:r>
          </w:p>
        </w:tc>
        <w:tc>
          <w:tcPr>
            <w:tcW w:type="dxa" w:w="12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1a6b4a"/>
                <w:sz w:val="17"/>
                <w:szCs w:val="17"/>
              </w:rPr>
              <w:t xml:space="preserve">32/32</w:t>
            </w:r>
          </w:p>
        </w:tc>
        <w:tc>
          <w:tcPr>
            <w:tcW w:type="dxa" w:w="26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AmipecetAI, AntetAI</w:t>
            </w:r>
          </w:p>
        </w:tc>
      </w:tr>
      <w:tr>
        <w:tc>
          <w:tcPr>
            <w:tcW w:type="dxa" w:w="15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bCs/>
                <w:color w:val="333333"/>
                <w:sz w:val="17"/>
                <w:szCs w:val="17"/>
              </w:rPr>
              <w:t xml:space="preserve">VII. Ancoră</w:t>
            </w:r>
          </w:p>
        </w:tc>
        <w:tc>
          <w:tcPr>
            <w:tcW w:type="dxa" w:w="28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Intent hash semnat</w:t>
            </w:r>
          </w:p>
        </w:tc>
        <w:tc>
          <w:tcPr>
            <w:tcW w:type="dxa" w:w="12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1a6b4a"/>
                <w:sz w:val="17"/>
                <w:szCs w:val="17"/>
              </w:rPr>
              <w:t xml:space="preserve">18/18</w:t>
            </w:r>
          </w:p>
        </w:tc>
        <w:tc>
          <w:tcPr>
            <w:tcW w:type="dxa" w:w="26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BRIDGRAI A2A, AmiGibberishAI</w:t>
            </w:r>
          </w:p>
        </w:tc>
      </w:tr>
    </w:tbl>
    <w:p>
      <w:pPr>
        <w:spacing w:after="160" w:before="120" w:line="290"/>
        <w:jc w:val="both"/>
      </w:pPr>
      <w:r>
        <w:rPr>
          <w:rFonts w:ascii="Cambria" w:cs="Cambria" w:eastAsia="Cambria" w:hAnsi="Cambria"/>
          <w:color w:val="333333"/>
          <w:sz w:val="21"/>
          <w:szCs w:val="21"/>
        </w:rPr>
        <w:t xml:space="preserve">Testele nu sunt ad-hoc. Sunt teste </w:t>
      </w:r>
      <w:r>
        <w:rPr>
          <w:rFonts w:ascii="Cambria" w:cs="Cambria" w:eastAsia="Cambria" w:hAnsi="Cambria"/>
          <w:b/>
          <w:bCs/>
          <w:color w:val="333333"/>
          <w:sz w:val="21"/>
          <w:szCs w:val="21"/>
        </w:rPr>
        <w:t xml:space="preserve">structurale</w:t>
      </w:r>
      <w:r>
        <w:rPr>
          <w:rFonts w:ascii="Cambria" w:cs="Cambria" w:eastAsia="Cambria" w:hAnsi="Cambria"/>
          <w:color w:val="333333"/>
          <w:sz w:val="21"/>
          <w:szCs w:val="21"/>
        </w:rPr>
        <w:t xml:space="preserve">: verifică nu că sistemul produce un răspuns bun, ci că structura codului nu permite un răspuns lipsit de etică. Diferența este fundamentală: un test funcțional poate fi înșelat; un test structural nu poate.</w:t>
      </w:r>
    </w:p>
    <w:p>
      <w:pPr>
        <w:pageBreakBefore/>
      </w:pPr>
      <w:r>
        <w:br/>
      </w:r>
    </w:p>
    <w:p>
      <w:pPr>
        <w:pStyle w:val="Heading1"/>
        <w:pBdr>
          <w:bottom w:val="single" w:color="2d5f8a" w:sz="2" w:space="4"/>
        </w:pBdr>
        <w:spacing w:after="140" w:before="360"/>
      </w:pPr>
      <w:r>
        <w:rPr>
          <w:rFonts w:ascii="Calibri" w:cs="Calibri" w:eastAsia="Calibri" w:hAnsi="Calibri"/>
          <w:b/>
          <w:bCs/>
          <w:color w:val="1a1a2e"/>
          <w:sz w:val="26"/>
          <w:szCs w:val="26"/>
        </w:rPr>
        <w:t xml:space="preserve">5. Gradientul Etic</w:t>
      </w:r>
    </w:p>
    <w:p>
      <w:pPr>
        <w:spacing w:after="160" w:before="0" w:line="290"/>
        <w:jc w:val="both"/>
      </w:pPr>
      <w:r>
        <w:rPr>
          <w:rFonts w:ascii="Cambria" w:cs="Cambria" w:eastAsia="Cambria" w:hAnsi="Cambria"/>
          <w:color w:val="333333"/>
          <w:sz w:val="21"/>
          <w:szCs w:val="21"/>
        </w:rPr>
        <w:t xml:space="preserve">Sistemele AI existente operează de obicei la unul din trei niveluri etice:</w:t>
      </w:r>
    </w:p>
    <w:p>
      <w:pPr>
        <w:pStyle w:val="Heading3"/>
        <w:spacing w:after="80" w:before="200"/>
      </w:pPr>
      <w:r>
        <w:rPr>
          <w:rFonts w:ascii="Calibri" w:cs="Calibri" w:eastAsia="Calibri" w:hAnsi="Calibri"/>
          <w:b/>
          <w:bCs/>
          <w:color w:val="1a1a2e"/>
          <w:sz w:val="20"/>
          <w:szCs w:val="20"/>
        </w:rPr>
        <w:t xml:space="preserve">Nivelul 0: Declarații</w:t>
      </w:r>
    </w:p>
    <w:p>
      <w:pPr>
        <w:spacing w:after="160" w:before="0" w:line="290"/>
        <w:jc w:val="both"/>
      </w:pPr>
      <w:r>
        <w:rPr>
          <w:rFonts w:ascii="Cambria" w:cs="Cambria" w:eastAsia="Cambria" w:hAnsi="Cambria"/>
          <w:color w:val="333333"/>
          <w:sz w:val="21"/>
          <w:szCs w:val="21"/>
        </w:rPr>
        <w:t xml:space="preserve">Compania publică un document de principii etice. Documentul nu e conectat la cod. Codul poate face orice. Testele nu verifică etica. Acesta este nivelul majorității companiilor AI în 2026.</w:t>
      </w:r>
    </w:p>
    <w:p>
      <w:pPr>
        <w:pStyle w:val="Heading3"/>
        <w:spacing w:after="80" w:before="200"/>
      </w:pPr>
      <w:r>
        <w:rPr>
          <w:rFonts w:ascii="Calibri" w:cs="Calibri" w:eastAsia="Calibri" w:hAnsi="Calibri"/>
          <w:b/>
          <w:bCs/>
          <w:color w:val="1a1a2e"/>
          <w:sz w:val="20"/>
          <w:szCs w:val="20"/>
        </w:rPr>
        <w:t xml:space="preserve">Nivelul 1: Filtre</w:t>
      </w:r>
    </w:p>
    <w:p>
      <w:pPr>
        <w:spacing w:after="160" w:before="0" w:line="290"/>
        <w:jc w:val="both"/>
      </w:pPr>
      <w:r>
        <w:rPr>
          <w:rFonts w:ascii="Cambria" w:cs="Cambria" w:eastAsia="Cambria" w:hAnsi="Cambria"/>
          <w:color w:val="333333"/>
          <w:sz w:val="21"/>
          <w:szCs w:val="21"/>
        </w:rPr>
        <w:t xml:space="preserve">Sistemul are filtre de conținut (safety filters, content moderation). Filtrele operează la suprafață — blochează cuvinte sau categorii. Pot fi ocolite prin reformulare. Nu verifică intenția. Acesta este nivelul ChatGPT, Claude, Gemini.</w:t>
      </w:r>
    </w:p>
    <w:p>
      <w:pPr>
        <w:pStyle w:val="Heading3"/>
        <w:spacing w:after="80" w:before="200"/>
      </w:pPr>
      <w:r>
        <w:rPr>
          <w:rFonts w:ascii="Calibri" w:cs="Calibri" w:eastAsia="Calibri" w:hAnsi="Calibri"/>
          <w:b/>
          <w:bCs/>
          <w:color w:val="1a1a2e"/>
          <w:sz w:val="20"/>
          <w:szCs w:val="20"/>
        </w:rPr>
        <w:t xml:space="preserve">Nivelul 2: Structură (DSEI)</w:t>
      </w:r>
    </w:p>
    <w:p>
      <w:pPr>
        <w:spacing w:after="160" w:before="0" w:line="290"/>
        <w:jc w:val="both"/>
      </w:pPr>
      <w:r>
        <w:rPr>
          <w:rFonts w:ascii="Cambria" w:cs="Cambria" w:eastAsia="Cambria" w:hAnsi="Cambria"/>
          <w:color w:val="333333"/>
          <w:sz w:val="21"/>
          <w:szCs w:val="21"/>
        </w:rPr>
        <w:t xml:space="preserve">Etica este în structura codului. Nu poate fi ocolită fără să spargi testele. Nu operează la suprafață — operează la nivelul deciziilor arhitecturale. Acesta este nivelul la care operează ecosistemul ami*/BRIDGRAI.</w:t>
      </w:r>
    </w:p>
    <w:p>
      <w:pPr>
        <w:pStyle w:val="Heading3"/>
        <w:spacing w:after="80" w:before="200"/>
      </w:pPr>
      <w:r>
        <w:rPr>
          <w:rFonts w:ascii="Calibri" w:cs="Calibri" w:eastAsia="Calibri" w:hAnsi="Calibri"/>
          <w:b/>
          <w:bCs/>
          <w:color w:val="1a1a2e"/>
          <w:sz w:val="20"/>
          <w:szCs w:val="20"/>
        </w:rPr>
        <w:t xml:space="preserve">Nivelul 3: Verificabil (ținta DSEI)</w:t>
      </w:r>
    </w:p>
    <w:p>
      <w:pPr>
        <w:spacing w:after="160" w:before="0" w:line="290"/>
        <w:jc w:val="both"/>
      </w:pPr>
      <w:r>
        <w:rPr>
          <w:rFonts w:ascii="Cambria" w:cs="Cambria" w:eastAsia="Cambria" w:hAnsi="Cambria"/>
          <w:color w:val="333333"/>
          <w:sz w:val="21"/>
          <w:szCs w:val="21"/>
        </w:rPr>
        <w:t xml:space="preserve">Etica este nu doar structurală, ci </w:t>
      </w:r>
      <w:r>
        <w:rPr>
          <w:rFonts w:ascii="Cambria" w:cs="Cambria" w:eastAsia="Cambria" w:hAnsi="Cambria"/>
          <w:b/>
          <w:bCs/>
          <w:color w:val="333333"/>
          <w:sz w:val="21"/>
          <w:szCs w:val="21"/>
        </w:rPr>
        <w:t xml:space="preserve">verificabilă extern</w:t>
      </w:r>
      <w:r>
        <w:rPr>
          <w:rFonts w:ascii="Cambria" w:cs="Cambria" w:eastAsia="Cambria" w:hAnsi="Cambria"/>
          <w:color w:val="333333"/>
          <w:sz w:val="21"/>
          <w:szCs w:val="21"/>
        </w:rPr>
        <w:t xml:space="preserve">: open-source, audit blockchain, certificate criptografice. Oricine poate verifica că sistemul face ce spune că face. DSEI se află în tranziție de la nivelul 2 la nivelul 3 prin:</w:t>
      </w:r>
    </w:p>
    <w:p>
      <w:pPr>
        <w:pStyle w:val="ListParagraph"/>
        <w:numPr>
          <w:ilvl w:val="0"/>
          <w:numId w:val="4"/>
        </w:numPr>
        <w:spacing w:after="80" w:line="280"/>
      </w:pPr>
      <w:r>
        <w:rPr>
          <w:rFonts w:ascii="Cambria" w:cs="Cambria" w:eastAsia="Cambria" w:hAnsi="Cambria"/>
          <w:color w:val="333333"/>
          <w:sz w:val="21"/>
          <w:szCs w:val="21"/>
        </w:rPr>
        <w:t xml:space="preserve">Open-source selectiv (Apache-2.0 pentru componente critice: KinderAGI, UKBE Core)</w:t>
      </w:r>
    </w:p>
    <w:p>
      <w:pPr>
        <w:pStyle w:val="ListParagraph"/>
        <w:numPr>
          <w:ilvl w:val="0"/>
          <w:numId w:val="4"/>
        </w:numPr>
        <w:spacing w:after="80" w:line="280"/>
      </w:pPr>
      <w:r>
        <w:rPr>
          <w:rFonts w:ascii="Cambria" w:cs="Cambria" w:eastAsia="Cambria" w:hAnsi="Cambria"/>
          <w:color w:val="333333"/>
          <w:sz w:val="21"/>
          <w:szCs w:val="21"/>
        </w:rPr>
        <w:t xml:space="preserve">Blockchain anchoring (106 active IP, Tezos Merkle proofs)</w:t>
      </w:r>
    </w:p>
    <w:p>
      <w:pPr>
        <w:pStyle w:val="ListParagraph"/>
        <w:numPr>
          <w:ilvl w:val="0"/>
          <w:numId w:val="4"/>
        </w:numPr>
        <w:spacing w:after="80" w:line="280"/>
      </w:pPr>
      <w:r>
        <w:rPr>
          <w:rFonts w:ascii="Cambria" w:cs="Cambria" w:eastAsia="Cambria" w:hAnsi="Cambria"/>
          <w:color w:val="333333"/>
          <w:sz w:val="21"/>
          <w:szCs w:val="21"/>
        </w:rPr>
        <w:t xml:space="preserve">AmiStampAI (notarizare tridimensională: existență + sens + intenție)</w:t>
      </w:r>
    </w:p>
    <w:p>
      <w:pPr>
        <w:pStyle w:val="ListParagraph"/>
        <w:numPr>
          <w:ilvl w:val="0"/>
          <w:numId w:val="4"/>
        </w:numPr>
        <w:spacing w:after="80" w:line="280"/>
      </w:pPr>
      <w:r>
        <w:rPr>
          <w:rFonts w:ascii="Cambria" w:cs="Cambria" w:eastAsia="Cambria" w:hAnsi="Cambria"/>
          <w:color w:val="333333"/>
          <w:sz w:val="21"/>
          <w:szCs w:val="21"/>
        </w:rPr>
        <w:t xml:space="preserve">Auditul DSEI însuși (acest document este public și verificabil)</w:t>
      </w:r>
    </w:p>
    <w:p>
      <w:pPr>
        <w:pageBreakBefore/>
      </w:pPr>
      <w:r>
        <w:br/>
      </w:r>
    </w:p>
    <w:p>
      <w:pPr>
        <w:pStyle w:val="Heading1"/>
        <w:pBdr>
          <w:bottom w:val="single" w:color="2d5f8a" w:sz="2" w:space="4"/>
        </w:pBdr>
        <w:spacing w:after="140" w:before="360"/>
      </w:pPr>
      <w:r>
        <w:rPr>
          <w:rFonts w:ascii="Calibri" w:cs="Calibri" w:eastAsia="Calibri" w:hAnsi="Calibri"/>
          <w:b/>
          <w:bCs/>
          <w:color w:val="1a1a2e"/>
          <w:sz w:val="26"/>
          <w:szCs w:val="26"/>
        </w:rPr>
        <w:t xml:space="preserve">6. Conformitate Regulatorie</w:t>
      </w:r>
    </w:p>
    <w:p>
      <w:pPr>
        <w:pStyle w:val="Heading2"/>
        <w:spacing w:after="100" w:before="260"/>
      </w:pPr>
      <w:r>
        <w:rPr>
          <w:rFonts w:ascii="Calibri" w:cs="Calibri" w:eastAsia="Calibri" w:hAnsi="Calibri"/>
          <w:b/>
          <w:bCs/>
          <w:color w:val="2d5f8a"/>
          <w:sz w:val="22"/>
          <w:szCs w:val="22"/>
        </w:rPr>
        <w:t xml:space="preserve">6.1 EU AI Act (Regulation 2024/1689)</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W w:type="dxa" w:w="14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Articol</w:t>
            </w:r>
          </w:p>
        </w:tc>
        <w:tc>
          <w:tcPr>
            <w:tcW w:type="dxa" w:w="18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Cerință</w:t>
            </w:r>
          </w:p>
        </w:tc>
        <w:tc>
          <w:tcPr>
            <w:tcW w:type="dxa" w:w="49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Implementare DSEI</w:t>
            </w:r>
          </w:p>
        </w:tc>
      </w:tr>
      <w:tr>
        <w:tc>
          <w:tcPr>
            <w:tcW w:type="dxa" w:w="14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bCs/>
                <w:color w:val="333333"/>
                <w:sz w:val="17"/>
                <w:szCs w:val="17"/>
              </w:rPr>
              <w:t xml:space="preserve">Articolul 14</w:t>
            </w:r>
          </w:p>
        </w:tc>
        <w:tc>
          <w:tcPr>
            <w:tcW w:type="dxa" w:w="18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Human Oversight</w:t>
            </w:r>
          </w:p>
        </w:tc>
        <w:tc>
          <w:tcPr>
            <w:tcW w:type="dxa" w:w="49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Principiul VII (Ancora Umană) + Principiul III (Escaladare la Om)</w:t>
            </w:r>
          </w:p>
        </w:tc>
      </w:tr>
      <w:tr>
        <w:tc>
          <w:tcPr>
            <w:tcW w:type="dxa" w:w="14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bCs/>
                <w:color w:val="333333"/>
                <w:sz w:val="17"/>
                <w:szCs w:val="17"/>
              </w:rPr>
              <w:t xml:space="preserve">Articolul 50</w:t>
            </w:r>
          </w:p>
        </w:tc>
        <w:tc>
          <w:tcPr>
            <w:tcW w:type="dxa" w:w="18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Transparență</w:t>
            </w:r>
          </w:p>
        </w:tc>
        <w:tc>
          <w:tcPr>
            <w:tcW w:type="dxa" w:w="49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Principiul II (Transparența Concordanței) + audit trail JSON-LD</w:t>
            </w:r>
          </w:p>
        </w:tc>
      </w:tr>
      <w:tr>
        <w:tc>
          <w:tcPr>
            <w:tcW w:type="dxa" w:w="14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bCs/>
                <w:color w:val="333333"/>
                <w:sz w:val="17"/>
                <w:szCs w:val="17"/>
              </w:rPr>
              <w:t xml:space="preserve">Recital 134</w:t>
            </w:r>
          </w:p>
        </w:tc>
        <w:tc>
          <w:tcPr>
            <w:tcW w:type="dxa" w:w="18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Conținut AI</w:t>
            </w:r>
          </w:p>
        </w:tc>
        <w:tc>
          <w:tcPr>
            <w:tcW w:type="dxa" w:w="49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Etichetare sursă + concordanță % + provenance blockchain</w:t>
            </w:r>
          </w:p>
        </w:tc>
      </w:tr>
      <w:tr>
        <w:tc>
          <w:tcPr>
            <w:tcW w:type="dxa" w:w="14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bCs/>
                <w:color w:val="333333"/>
                <w:sz w:val="17"/>
                <w:szCs w:val="17"/>
              </w:rPr>
              <w:t xml:space="preserve">Articolul 9</w:t>
            </w:r>
          </w:p>
        </w:tc>
        <w:tc>
          <w:tcPr>
            <w:tcW w:type="dxa" w:w="18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Risk Management</w:t>
            </w:r>
          </w:p>
        </w:tc>
        <w:tc>
          <w:tcPr>
            <w:tcW w:type="dxa" w:w="49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TVE 6 axe + dual-engine + escaladare</w:t>
            </w:r>
          </w:p>
        </w:tc>
      </w:tr>
      <w:tr>
        <w:tc>
          <w:tcPr>
            <w:tcW w:type="dxa" w:w="14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bCs/>
                <w:color w:val="333333"/>
                <w:sz w:val="17"/>
                <w:szCs w:val="17"/>
              </w:rPr>
              <w:t xml:space="preserve">Articolul 10</w:t>
            </w:r>
          </w:p>
        </w:tc>
        <w:tc>
          <w:tcPr>
            <w:tcW w:type="dxa" w:w="18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Data Governance</w:t>
            </w:r>
          </w:p>
        </w:tc>
        <w:tc>
          <w:tcPr>
            <w:tcW w:type="dxa" w:w="49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Principiul V (Minimizare) + GDPR by design</w:t>
            </w:r>
          </w:p>
        </w:tc>
      </w:tr>
    </w:tbl>
    <w:p>
      <w:pPr>
        <w:pStyle w:val="Heading2"/>
        <w:spacing w:after="100" w:before="260"/>
      </w:pPr>
      <w:r>
        <w:rPr>
          <w:rFonts w:ascii="Calibri" w:cs="Calibri" w:eastAsia="Calibri" w:hAnsi="Calibri"/>
          <w:b/>
          <w:bCs/>
          <w:color w:val="2d5f8a"/>
          <w:sz w:val="22"/>
          <w:szCs w:val="22"/>
        </w:rPr>
        <w:t xml:space="preserve">6.2 NIST AI RMF (AI 100-1)</w:t>
      </w:r>
    </w:p>
    <w:tbl>
      <w:tblPr>
        <w:tblW w:type="dxa" w:w="81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W w:type="dxa" w:w="14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Funcție</w:t>
            </w:r>
          </w:p>
        </w:tc>
        <w:tc>
          <w:tcPr>
            <w:tcW w:type="dxa" w:w="22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Cerință</w:t>
            </w:r>
          </w:p>
        </w:tc>
        <w:tc>
          <w:tcPr>
            <w:tcW w:type="dxa" w:w="4500"/>
            <w:tcBorders>
              <w:top w:val="single" w:color="CCCCCC" w:sz="1"/>
              <w:left w:val="single" w:color="DDDDDD" w:sz="1"/>
              <w:bottom w:val="single" w:color="CCCCCC" w:sz="1"/>
              <w:right w:val="single" w:color="DDDDDD" w:sz="1"/>
            </w:tcBorders>
            <w:shd w:fill="1a1a2e" w:val="clear"/>
          </w:tcPr>
          <w:p>
            <w:pPr>
              <w:spacing w:after="30" w:before="30"/>
              <w:jc w:val="left"/>
            </w:pPr>
            <w:r>
              <w:rPr>
                <w:rFonts w:ascii="Calibri" w:cs="Calibri" w:eastAsia="Calibri" w:hAnsi="Calibri"/>
                <w:b/>
                <w:bCs/>
                <w:color w:val="FFFFFF"/>
                <w:sz w:val="16"/>
                <w:szCs w:val="16"/>
              </w:rPr>
              <w:t xml:space="preserve">Implementare DSEI</w:t>
            </w:r>
          </w:p>
        </w:tc>
      </w:tr>
      <w:tr>
        <w:tc>
          <w:tcPr>
            <w:tcW w:type="dxa" w:w="14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bCs/>
                <w:color w:val="333333"/>
                <w:sz w:val="17"/>
                <w:szCs w:val="17"/>
              </w:rPr>
              <w:t xml:space="preserve">GOVERN</w:t>
            </w:r>
          </w:p>
        </w:tc>
        <w:tc>
          <w:tcPr>
            <w:tcW w:type="dxa" w:w="22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Politici de guvernanță AI</w:t>
            </w:r>
          </w:p>
        </w:tc>
        <w:tc>
          <w:tcPr>
            <w:tcW w:type="dxa" w:w="45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DSEI 7 principii + teste structurale obligatorii la build</w:t>
            </w:r>
          </w:p>
        </w:tc>
      </w:tr>
      <w:tr>
        <w:tc>
          <w:tcPr>
            <w:tcW w:type="dxa" w:w="14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bCs/>
                <w:color w:val="333333"/>
                <w:sz w:val="17"/>
                <w:szCs w:val="17"/>
              </w:rPr>
              <w:t xml:space="preserve">MAP</w:t>
            </w:r>
          </w:p>
        </w:tc>
        <w:tc>
          <w:tcPr>
            <w:tcW w:type="dxa" w:w="22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Identificarea riscurilor</w:t>
            </w:r>
          </w:p>
        </w:tc>
        <w:tc>
          <w:tcPr>
            <w:tcW w:type="dxa" w:w="45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TVE 6 axe + concordanță threshold + threat model</w:t>
            </w:r>
          </w:p>
        </w:tc>
      </w:tr>
      <w:tr>
        <w:tc>
          <w:tcPr>
            <w:tcW w:type="dxa" w:w="14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bCs/>
                <w:color w:val="333333"/>
                <w:sz w:val="17"/>
                <w:szCs w:val="17"/>
              </w:rPr>
              <w:t xml:space="preserve">MEASURE</w:t>
            </w:r>
          </w:p>
        </w:tc>
        <w:tc>
          <w:tcPr>
            <w:tcW w:type="dxa" w:w="22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Măsurarea performanței</w:t>
            </w:r>
          </w:p>
        </w:tc>
        <w:tc>
          <w:tcPr>
            <w:tcW w:type="dxa" w:w="4500"/>
            <w:tcBorders>
              <w:top w:val="single" w:color="CCCCCC" w:sz="1"/>
              <w:left w:val="single" w:color="DDDDDD" w:sz="1"/>
              <w:bottom w:val="single" w:color="CCCCCC" w:sz="1"/>
              <w:right w:val="single" w:color="DDDDDD" w:sz="1"/>
            </w:tcBorders>
            <w:shd w:fill="f0f4f8" w:val="clear"/>
          </w:tcPr>
          <w:p>
            <w:pPr>
              <w:spacing w:after="30" w:before="30"/>
              <w:jc w:val="left"/>
            </w:pPr>
            <w:r>
              <w:rPr>
                <w:rFonts w:ascii="Calibri" w:cs="Calibri" w:eastAsia="Calibri" w:hAnsi="Calibri"/>
                <w:b w:val="false"/>
                <w:bCs w:val="false"/>
                <w:color w:val="333333"/>
                <w:sz w:val="17"/>
                <w:szCs w:val="17"/>
              </w:rPr>
              <w:t xml:space="preserve">L (semantic distance), E (error-rate), A (audit-score)</w:t>
            </w:r>
          </w:p>
        </w:tc>
      </w:tr>
      <w:tr>
        <w:tc>
          <w:tcPr>
            <w:tcW w:type="dxa" w:w="14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bCs/>
                <w:color w:val="333333"/>
                <w:sz w:val="17"/>
                <w:szCs w:val="17"/>
              </w:rPr>
              <w:t xml:space="preserve">MANAGE</w:t>
            </w:r>
          </w:p>
        </w:tc>
        <w:tc>
          <w:tcPr>
            <w:tcW w:type="dxa" w:w="22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Gestionarea riscurilor</w:t>
            </w:r>
          </w:p>
        </w:tc>
        <w:tc>
          <w:tcPr>
            <w:tcW w:type="dxa" w:w="4500"/>
            <w:tcBorders>
              <w:top w:val="single" w:color="CCCCCC" w:sz="1"/>
              <w:left w:val="single" w:color="DDDDDD" w:sz="1"/>
              <w:bottom w:val="single" w:color="CCCCCC" w:sz="1"/>
              <w:right w:val="single" w:color="DDDDDD" w:sz="1"/>
            </w:tcBorders>
            <w:shd w:fill="FFFFFF" w:val="clear"/>
          </w:tcPr>
          <w:p>
            <w:pPr>
              <w:spacing w:after="30" w:before="30"/>
              <w:jc w:val="left"/>
            </w:pPr>
            <w:r>
              <w:rPr>
                <w:rFonts w:ascii="Calibri" w:cs="Calibri" w:eastAsia="Calibri" w:hAnsi="Calibri"/>
                <w:b w:val="false"/>
                <w:bCs w:val="false"/>
                <w:color w:val="333333"/>
                <w:sz w:val="17"/>
                <w:szCs w:val="17"/>
              </w:rPr>
              <w:t xml:space="preserve">Escaladare la om + refuz onest + audit trail imutabil</w:t>
            </w:r>
          </w:p>
        </w:tc>
      </w:tr>
    </w:tbl>
    <w:p>
      <w:pPr>
        <w:pStyle w:val="Heading2"/>
        <w:spacing w:after="100" w:before="260"/>
      </w:pPr>
      <w:r>
        <w:rPr>
          <w:rFonts w:ascii="Calibri" w:cs="Calibri" w:eastAsia="Calibri" w:hAnsi="Calibri"/>
          <w:b/>
          <w:bCs/>
          <w:color w:val="2d5f8a"/>
          <w:sz w:val="22"/>
          <w:szCs w:val="22"/>
        </w:rPr>
        <w:t xml:space="preserve">6.3 GDPR (Regulation 2016/679)</w:t>
      </w:r>
    </w:p>
    <w:p>
      <w:pPr>
        <w:pStyle w:val="ListParagraph"/>
        <w:numPr>
          <w:ilvl w:val="0"/>
          <w:numId w:val="4"/>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Principiul V</w:t>
      </w:r>
      <w:r>
        <w:rPr>
          <w:rFonts w:ascii="Cambria" w:cs="Cambria" w:eastAsia="Cambria" w:hAnsi="Cambria"/>
          <w:color w:val="333333"/>
          <w:sz w:val="21"/>
          <w:szCs w:val="21"/>
        </w:rPr>
        <w:t xml:space="preserve"> (Minimizare) implementează Articolul 5(1)(c): minimizarea datelor</w:t>
      </w:r>
    </w:p>
    <w:p>
      <w:pPr>
        <w:pStyle w:val="ListParagraph"/>
        <w:numPr>
          <w:ilvl w:val="0"/>
          <w:numId w:val="4"/>
        </w:numPr>
        <w:spacing w:after="80" w:line="280"/>
      </w:pPr>
      <w:r>
        <w:rPr>
          <w:rFonts w:ascii="Cambria" w:cs="Cambria" w:eastAsia="Cambria" w:hAnsi="Cambria"/>
          <w:color w:val="333333"/>
          <w:sz w:val="21"/>
          <w:szCs w:val="21"/>
        </w:rPr>
        <w:t xml:space="preserve">Alertele de securitate conțin categorie + nivel, NU conținut conversație (Articolul 25: Data Protection by Design)</w:t>
      </w:r>
    </w:p>
    <w:p>
      <w:pPr>
        <w:pStyle w:val="ListParagraph"/>
        <w:numPr>
          <w:ilvl w:val="0"/>
          <w:numId w:val="4"/>
        </w:numPr>
        <w:spacing w:after="80" w:line="280"/>
      </w:pPr>
      <w:r>
        <w:rPr>
          <w:rFonts w:ascii="Cambria" w:cs="Cambria" w:eastAsia="Cambria" w:hAnsi="Cambria"/>
          <w:color w:val="333333"/>
          <w:sz w:val="21"/>
          <w:szCs w:val="21"/>
        </w:rPr>
        <w:t xml:space="preserve">Audit log cu retenție configurată și drept de ștergere (Articolul 17: Right to Erasure)</w:t>
      </w:r>
    </w:p>
    <w:p>
      <w:pPr>
        <w:pStyle w:val="ListParagraph"/>
        <w:numPr>
          <w:ilvl w:val="0"/>
          <w:numId w:val="4"/>
        </w:numPr>
        <w:spacing w:after="80" w:line="280"/>
      </w:pPr>
      <w:r>
        <w:rPr>
          <w:rFonts w:ascii="Cambria" w:cs="Cambria" w:eastAsia="Cambria" w:hAnsi="Cambria"/>
          <w:color w:val="333333"/>
          <w:sz w:val="21"/>
          <w:szCs w:val="21"/>
        </w:rPr>
        <w:t xml:space="preserve">Procesare locală preferată (Ollama, self-hosted models) pentru evitarea transferului trans-frontalier</w:t>
      </w:r>
    </w:p>
    <w:p>
      <w:pPr>
        <w:pageBreakBefore/>
      </w:pPr>
      <w:r>
        <w:br/>
      </w:r>
    </w:p>
    <w:p>
      <w:pPr>
        <w:pStyle w:val="Heading1"/>
        <w:pBdr>
          <w:bottom w:val="single" w:color="2d5f8a" w:sz="2" w:space="4"/>
        </w:pBdr>
        <w:spacing w:after="140" w:before="360"/>
      </w:pPr>
      <w:r>
        <w:rPr>
          <w:rFonts w:ascii="Calibri" w:cs="Calibri" w:eastAsia="Calibri" w:hAnsi="Calibri"/>
          <w:b/>
          <w:bCs/>
          <w:color w:val="1a1a2e"/>
          <w:sz w:val="26"/>
          <w:szCs w:val="26"/>
        </w:rPr>
        <w:t xml:space="preserve">7. Dovada Discretă</w:t>
      </w:r>
    </w:p>
    <w:p>
      <w:pPr>
        <w:spacing w:after="160" w:before="0" w:line="290"/>
        <w:jc w:val="both"/>
      </w:pPr>
      <w:r>
        <w:rPr>
          <w:rFonts w:ascii="Cambria" w:cs="Cambria" w:eastAsia="Cambria" w:hAnsi="Cambria"/>
          <w:color w:val="333333"/>
          <w:sz w:val="21"/>
          <w:szCs w:val="21"/>
        </w:rPr>
        <w:t xml:space="preserve">Un sistem etic se dovedește nu prin ce spune, ci prin ce refuză să facă. În ecosistemul ami*/BRIDGRAI, refuzurile sunt verificabile:</w:t>
      </w:r>
    </w:p>
    <w:p>
      <w:pPr>
        <w:pStyle w:val="Heading3"/>
        <w:spacing w:after="80" w:before="200"/>
      </w:pPr>
      <w:r>
        <w:rPr>
          <w:rFonts w:ascii="Calibri" w:cs="Calibri" w:eastAsia="Calibri" w:hAnsi="Calibri"/>
          <w:b/>
          <w:bCs/>
          <w:color w:val="1a1a2e"/>
          <w:sz w:val="20"/>
          <w:szCs w:val="20"/>
        </w:rPr>
        <w:t xml:space="preserve">Ce refuză AmiDor</w:t>
      </w:r>
    </w:p>
    <w:p>
      <w:pPr>
        <w:pStyle w:val="ListParagraph"/>
        <w:numPr>
          <w:ilvl w:val="0"/>
          <w:numId w:val="4"/>
        </w:numPr>
        <w:spacing w:after="80" w:line="280"/>
      </w:pPr>
      <w:r>
        <w:rPr>
          <w:rFonts w:ascii="Cambria" w:cs="Cambria" w:eastAsia="Cambria" w:hAnsi="Cambria"/>
          <w:color w:val="333333"/>
          <w:sz w:val="21"/>
          <w:szCs w:val="21"/>
        </w:rPr>
        <w:t xml:space="preserve">Refuză să dea un răspuns când cele două motoare nu sunt de acord</w:t>
      </w:r>
    </w:p>
    <w:p>
      <w:pPr>
        <w:pStyle w:val="ListParagraph"/>
        <w:numPr>
          <w:ilvl w:val="0"/>
          <w:numId w:val="4"/>
        </w:numPr>
        <w:spacing w:after="80" w:line="280"/>
      </w:pPr>
      <w:r>
        <w:rPr>
          <w:rFonts w:ascii="Cambria" w:cs="Cambria" w:eastAsia="Cambria" w:hAnsi="Cambria"/>
          <w:color w:val="333333"/>
          <w:sz w:val="21"/>
          <w:szCs w:val="21"/>
        </w:rPr>
        <w:t xml:space="preserve">Refuză să afișeze cifre când concordanța e sub 92%</w:t>
      </w:r>
    </w:p>
    <w:p>
      <w:pPr>
        <w:pStyle w:val="ListParagraph"/>
        <w:numPr>
          <w:ilvl w:val="0"/>
          <w:numId w:val="4"/>
        </w:numPr>
        <w:spacing w:after="80" w:line="280"/>
      </w:pPr>
      <w:r>
        <w:rPr>
          <w:rFonts w:ascii="Cambria" w:cs="Cambria" w:eastAsia="Cambria" w:hAnsi="Cambria"/>
          <w:color w:val="333333"/>
          <w:sz w:val="21"/>
          <w:szCs w:val="21"/>
        </w:rPr>
        <w:t xml:space="preserve">Refuză să ascundă nivelul de încredere</w:t>
      </w:r>
    </w:p>
    <w:p>
      <w:pPr>
        <w:pStyle w:val="Heading3"/>
        <w:spacing w:after="80" w:before="200"/>
      </w:pPr>
      <w:r>
        <w:rPr>
          <w:rFonts w:ascii="Calibri" w:cs="Calibri" w:eastAsia="Calibri" w:hAnsi="Calibri"/>
          <w:b/>
          <w:bCs/>
          <w:color w:val="1a1a2e"/>
          <w:sz w:val="20"/>
          <w:szCs w:val="20"/>
        </w:rPr>
        <w:t xml:space="preserve">Ce refuză KinderAGI</w:t>
      </w:r>
    </w:p>
    <w:p>
      <w:pPr>
        <w:pStyle w:val="ListParagraph"/>
        <w:numPr>
          <w:ilvl w:val="0"/>
          <w:numId w:val="4"/>
        </w:numPr>
        <w:spacing w:after="80" w:line="280"/>
      </w:pPr>
      <w:r>
        <w:rPr>
          <w:rFonts w:ascii="Cambria" w:cs="Cambria" w:eastAsia="Cambria" w:hAnsi="Cambria"/>
          <w:color w:val="333333"/>
          <w:sz w:val="21"/>
          <w:szCs w:val="21"/>
        </w:rPr>
        <w:t xml:space="preserve">Refuză să prelungească o sesiune peste bugetul de atenție, chiar la engagement maxim</w:t>
      </w:r>
    </w:p>
    <w:p>
      <w:pPr>
        <w:pStyle w:val="ListParagraph"/>
        <w:numPr>
          <w:ilvl w:val="0"/>
          <w:numId w:val="4"/>
        </w:numPr>
        <w:spacing w:after="80" w:line="280"/>
      </w:pPr>
      <w:r>
        <w:rPr>
          <w:rFonts w:ascii="Cambria" w:cs="Cambria" w:eastAsia="Cambria" w:hAnsi="Cambria"/>
          <w:color w:val="333333"/>
          <w:sz w:val="21"/>
          <w:szCs w:val="21"/>
        </w:rPr>
        <w:t xml:space="preserve">Refuză să folosească dark patterns (test structural de gardă)</w:t>
      </w:r>
    </w:p>
    <w:p>
      <w:pPr>
        <w:pStyle w:val="ListParagraph"/>
        <w:numPr>
          <w:ilvl w:val="0"/>
          <w:numId w:val="4"/>
        </w:numPr>
        <w:spacing w:after="80" w:line="280"/>
      </w:pPr>
      <w:r>
        <w:rPr>
          <w:rFonts w:ascii="Cambria" w:cs="Cambria" w:eastAsia="Cambria" w:hAnsi="Cambria"/>
          <w:color w:val="333333"/>
          <w:sz w:val="21"/>
          <w:szCs w:val="21"/>
        </w:rPr>
        <w:t xml:space="preserve">Refuză să funcționeze fără misiuni offline</w:t>
      </w:r>
    </w:p>
    <w:p>
      <w:pPr>
        <w:pStyle w:val="Heading3"/>
        <w:spacing w:after="80" w:before="200"/>
      </w:pPr>
      <w:r>
        <w:rPr>
          <w:rFonts w:ascii="Calibri" w:cs="Calibri" w:eastAsia="Calibri" w:hAnsi="Calibri"/>
          <w:b/>
          <w:bCs/>
          <w:color w:val="1a1a2e"/>
          <w:sz w:val="20"/>
          <w:szCs w:val="20"/>
        </w:rPr>
        <w:t xml:space="preserve">Ce refuză Arbitration Support</w:t>
      </w:r>
    </w:p>
    <w:p>
      <w:pPr>
        <w:pStyle w:val="ListParagraph"/>
        <w:numPr>
          <w:ilvl w:val="0"/>
          <w:numId w:val="4"/>
        </w:numPr>
        <w:spacing w:after="80" w:line="280"/>
      </w:pPr>
      <w:r>
        <w:rPr>
          <w:rFonts w:ascii="Cambria" w:cs="Cambria" w:eastAsia="Cambria" w:hAnsi="Cambria"/>
          <w:color w:val="333333"/>
          <w:sz w:val="21"/>
          <w:szCs w:val="21"/>
        </w:rPr>
        <w:t xml:space="preserve">Refuză să emită un verdict (NU are câmp de verdict în output)</w:t>
      </w:r>
    </w:p>
    <w:p>
      <w:pPr>
        <w:pStyle w:val="ListParagraph"/>
        <w:numPr>
          <w:ilvl w:val="0"/>
          <w:numId w:val="4"/>
        </w:numPr>
        <w:spacing w:after="80" w:line="280"/>
      </w:pPr>
      <w:r>
        <w:rPr>
          <w:rFonts w:ascii="Cambria" w:cs="Cambria" w:eastAsia="Cambria" w:hAnsi="Cambria"/>
          <w:color w:val="333333"/>
          <w:sz w:val="21"/>
          <w:szCs w:val="21"/>
        </w:rPr>
        <w:t xml:space="preserve">Refuză să trateze acordul unanim ca dovadă de corectitudine (acord unanim greșit = risc raportat)</w:t>
      </w:r>
    </w:p>
    <w:p>
      <w:pPr>
        <w:pStyle w:val="ListParagraph"/>
        <w:numPr>
          <w:ilvl w:val="0"/>
          <w:numId w:val="4"/>
        </w:numPr>
        <w:spacing w:after="80" w:line="280"/>
      </w:pPr>
      <w:r>
        <w:rPr>
          <w:rFonts w:ascii="Cambria" w:cs="Cambria" w:eastAsia="Cambria" w:hAnsi="Cambria"/>
          <w:color w:val="333333"/>
          <w:sz w:val="21"/>
          <w:szCs w:val="21"/>
        </w:rPr>
        <w:t xml:space="preserve">Refuză să înlocuiască decizia umană</w:t>
      </w:r>
    </w:p>
    <w:p>
      <w:pPr>
        <w:pStyle w:val="Heading3"/>
        <w:spacing w:after="80" w:before="200"/>
      </w:pPr>
      <w:r>
        <w:rPr>
          <w:rFonts w:ascii="Calibri" w:cs="Calibri" w:eastAsia="Calibri" w:hAnsi="Calibri"/>
          <w:b/>
          <w:bCs/>
          <w:color w:val="1a1a2e"/>
          <w:sz w:val="20"/>
          <w:szCs w:val="20"/>
        </w:rPr>
        <w:t xml:space="preserve">Ce refuză TVE Core</w:t>
      </w:r>
    </w:p>
    <w:p>
      <w:pPr>
        <w:pStyle w:val="ListParagraph"/>
        <w:numPr>
          <w:ilvl w:val="0"/>
          <w:numId w:val="4"/>
        </w:numPr>
        <w:spacing w:after="80" w:line="280"/>
      </w:pPr>
      <w:r>
        <w:rPr>
          <w:rFonts w:ascii="Cambria" w:cs="Cambria" w:eastAsia="Cambria" w:hAnsi="Cambria"/>
          <w:color w:val="333333"/>
          <w:sz w:val="21"/>
          <w:szCs w:val="21"/>
        </w:rPr>
        <w:t xml:space="preserve">Refuză să dea un scor global de manipulare (raportează fiecare axă separat)</w:t>
      </w:r>
    </w:p>
    <w:p>
      <w:pPr>
        <w:pStyle w:val="ListParagraph"/>
        <w:numPr>
          <w:ilvl w:val="0"/>
          <w:numId w:val="4"/>
        </w:numPr>
        <w:spacing w:after="80" w:line="280"/>
      </w:pPr>
      <w:r>
        <w:rPr>
          <w:rFonts w:ascii="Cambria" w:cs="Cambria" w:eastAsia="Cambria" w:hAnsi="Cambria"/>
          <w:color w:val="333333"/>
          <w:sz w:val="21"/>
          <w:szCs w:val="21"/>
        </w:rPr>
        <w:t xml:space="preserve">Refuză să ascundă incertitudinea (fiecare axă are interval de încredere)</w:t>
      </w:r>
    </w:p>
    <w:p>
      <w:pPr>
        <w:pStyle w:val="Heading3"/>
        <w:spacing w:after="80" w:before="200"/>
      </w:pPr>
      <w:r>
        <w:rPr>
          <w:rFonts w:ascii="Calibri" w:cs="Calibri" w:eastAsia="Calibri" w:hAnsi="Calibri"/>
          <w:b/>
          <w:bCs/>
          <w:color w:val="1a1a2e"/>
          <w:sz w:val="20"/>
          <w:szCs w:val="20"/>
        </w:rPr>
        <w:t xml:space="preserve">Ce refuză BRIDGRAI A2A</w:t>
      </w:r>
    </w:p>
    <w:p>
      <w:pPr>
        <w:pStyle w:val="ListParagraph"/>
        <w:numPr>
          <w:ilvl w:val="0"/>
          <w:numId w:val="4"/>
        </w:numPr>
        <w:spacing w:after="80" w:line="280"/>
      </w:pPr>
      <w:r>
        <w:rPr>
          <w:rFonts w:ascii="Cambria" w:cs="Cambria" w:eastAsia="Cambria" w:hAnsi="Cambria"/>
          <w:color w:val="333333"/>
          <w:sz w:val="21"/>
          <w:szCs w:val="21"/>
        </w:rPr>
        <w:t xml:space="preserve">Refuză să propage un mesaj fără semnătura anchorei umane</w:t>
      </w:r>
    </w:p>
    <w:p>
      <w:pPr>
        <w:pStyle w:val="ListParagraph"/>
        <w:numPr>
          <w:ilvl w:val="0"/>
          <w:numId w:val="4"/>
        </w:numPr>
        <w:spacing w:after="80" w:line="280"/>
      </w:pPr>
      <w:r>
        <w:rPr>
          <w:rFonts w:ascii="Cambria" w:cs="Cambria" w:eastAsia="Cambria" w:hAnsi="Cambria"/>
          <w:color w:val="333333"/>
          <w:sz w:val="21"/>
          <w:szCs w:val="21"/>
        </w:rPr>
        <w:t xml:space="preserve">Refuză să accepte concordanță sub threshold fără escaladare</w:t>
      </w:r>
    </w:p>
    <w:p>
      <w:pPr>
        <w:pStyle w:val="ListParagraph"/>
        <w:numPr>
          <w:ilvl w:val="0"/>
          <w:numId w:val="4"/>
        </w:numPr>
        <w:spacing w:after="80" w:line="280"/>
      </w:pPr>
      <w:r>
        <w:rPr>
          <w:rFonts w:ascii="Cambria" w:cs="Cambria" w:eastAsia="Cambria" w:hAnsi="Cambria"/>
          <w:color w:val="333333"/>
          <w:sz w:val="21"/>
          <w:szCs w:val="21"/>
        </w:rPr>
        <w:t xml:space="preserve">Refuză să șteargă audit trail-ul</w:t>
      </w:r>
    </w:p>
    <w:p>
      <w:pPr>
        <w:spacing w:after="160" w:before="120" w:line="290"/>
        <w:jc w:val="both"/>
      </w:pPr>
      <w:r>
        <w:rPr>
          <w:rFonts w:ascii="Cambria" w:cs="Cambria" w:eastAsia="Cambria" w:hAnsi="Cambria"/>
          <w:color w:val="333333"/>
          <w:sz w:val="21"/>
          <w:szCs w:val="21"/>
        </w:rPr>
        <w:t xml:space="preserve">Fiecare refuz de mai sus este un test care rulează la build. Dacă cineva modifică codul să elimine refuzul, testul eșuează și build-ul se oprește. Aceasta este </w:t>
      </w:r>
      <w:r>
        <w:rPr>
          <w:rFonts w:ascii="Cambria" w:cs="Cambria" w:eastAsia="Cambria" w:hAnsi="Cambria"/>
          <w:b/>
          <w:bCs/>
          <w:color w:val="333333"/>
          <w:sz w:val="21"/>
          <w:szCs w:val="21"/>
        </w:rPr>
        <w:t xml:space="preserve">etica gravată în cod</w:t>
      </w:r>
      <w:r>
        <w:rPr>
          <w:rFonts w:ascii="Cambria" w:cs="Cambria" w:eastAsia="Cambria" w:hAnsi="Cambria"/>
          <w:color w:val="333333"/>
          <w:sz w:val="21"/>
          <w:szCs w:val="21"/>
        </w:rPr>
        <w:t xml:space="preserve">, nu scrisă pe hârtie.</w:t>
      </w:r>
    </w:p>
    <w:p>
      <w:pPr>
        <w:pageBreakBefore/>
      </w:pPr>
      <w:r>
        <w:br/>
      </w:r>
    </w:p>
    <w:p>
      <w:pPr>
        <w:pStyle w:val="Heading1"/>
        <w:pBdr>
          <w:bottom w:val="single" w:color="2d5f8a" w:sz="2" w:space="4"/>
        </w:pBdr>
        <w:spacing w:after="140" w:before="360"/>
      </w:pPr>
      <w:r>
        <w:rPr>
          <w:rFonts w:ascii="Calibri" w:cs="Calibri" w:eastAsia="Calibri" w:hAnsi="Calibri"/>
          <w:b/>
          <w:bCs/>
          <w:color w:val="1a1a2e"/>
          <w:sz w:val="26"/>
          <w:szCs w:val="26"/>
        </w:rPr>
        <w:t xml:space="preserve">8. De Ce Discret</w:t>
      </w:r>
    </w:p>
    <w:p>
      <w:pPr>
        <w:spacing w:after="160" w:before="0" w:line="290"/>
        <w:jc w:val="both"/>
      </w:pPr>
      <w:r>
        <w:rPr>
          <w:rFonts w:ascii="Cambria" w:cs="Cambria" w:eastAsia="Cambria" w:hAnsi="Cambria"/>
          <w:color w:val="333333"/>
          <w:sz w:val="21"/>
          <w:szCs w:val="21"/>
        </w:rPr>
        <w:t xml:space="preserve">Lumea AI în 2026 este plină de declarații etice. Fiecare companie majoră are un “Responsible AI” document. Fiecare startup AI menționează “safety” în pitch deck.</w:t>
      </w:r>
    </w:p>
    <w:p>
      <w:pPr>
        <w:spacing w:after="160" w:before="0" w:line="290"/>
        <w:jc w:val="both"/>
      </w:pPr>
      <w:r>
        <w:rPr>
          <w:rFonts w:ascii="Cambria" w:cs="Cambria" w:eastAsia="Cambria" w:hAnsi="Cambria"/>
          <w:color w:val="333333"/>
          <w:sz w:val="21"/>
          <w:szCs w:val="21"/>
        </w:rPr>
        <w:t xml:space="preserve">Problema nu e că nu există principii etice. Problema e că principiile nu sunt conectate la cod. Poți avea cele mai frumoase principii și cel mai iresponsabil produs.</w:t>
      </w:r>
    </w:p>
    <w:p>
      <w:pPr>
        <w:spacing w:after="160" w:before="0" w:line="290"/>
        <w:jc w:val="both"/>
      </w:pPr>
      <w:r>
        <w:rPr>
          <w:rFonts w:ascii="Cambria" w:cs="Cambria" w:eastAsia="Cambria" w:hAnsi="Cambria"/>
          <w:color w:val="333333"/>
          <w:sz w:val="21"/>
          <w:szCs w:val="21"/>
        </w:rPr>
        <w:t xml:space="preserve">DSEI alege </w:t>
      </w:r>
      <w:r>
        <w:rPr>
          <w:rFonts w:ascii="Cambria" w:cs="Cambria" w:eastAsia="Cambria" w:hAnsi="Cambria"/>
          <w:b/>
          <w:bCs/>
          <w:color w:val="333333"/>
          <w:sz w:val="21"/>
          <w:szCs w:val="21"/>
        </w:rPr>
        <w:t xml:space="preserve">discreția</w:t>
      </w:r>
      <w:r>
        <w:rPr>
          <w:rFonts w:ascii="Cambria" w:cs="Cambria" w:eastAsia="Cambria" w:hAnsi="Cambria"/>
          <w:color w:val="333333"/>
          <w:sz w:val="21"/>
          <w:szCs w:val="21"/>
        </w:rPr>
        <w:t xml:space="preserve"> din trei motive:</w:t>
      </w:r>
    </w:p>
    <w:p>
      <w:pPr>
        <w:pStyle w:val="ListParagraph"/>
        <w:numPr>
          <w:ilvl w:val="0"/>
          <w:numId w:val="3"/>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Credibilitate.</w:t>
      </w:r>
      <w:r>
        <w:rPr>
          <w:rFonts w:ascii="Cambria" w:cs="Cambria" w:eastAsia="Cambria" w:hAnsi="Cambria"/>
          <w:color w:val="333333"/>
          <w:sz w:val="21"/>
          <w:szCs w:val="21"/>
        </w:rPr>
        <w:t xml:space="preserve"> Un sistem care nu își anunță etica dar o demonstrează prin funcționare este mai credibil decât unul care o anunță dar nu o implementează.</w:t>
      </w:r>
    </w:p>
    <w:p>
      <w:pPr>
        <w:pStyle w:val="ListParagraph"/>
        <w:numPr>
          <w:ilvl w:val="0"/>
          <w:numId w:val="3"/>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Receptivitate.</w:t>
      </w:r>
      <w:r>
        <w:rPr>
          <w:rFonts w:ascii="Cambria" w:cs="Cambria" w:eastAsia="Cambria" w:hAnsi="Cambria"/>
          <w:color w:val="333333"/>
          <w:sz w:val="21"/>
          <w:szCs w:val="21"/>
        </w:rPr>
        <w:t xml:space="preserve"> Moralizarea produce rezistență. Un sistem care te protejează fără să ți predice este acceptat. Nivelul susceptibil-admisibil funcționează tocmai pentru că nu forțează.</w:t>
      </w:r>
    </w:p>
    <w:p>
      <w:pPr>
        <w:pStyle w:val="ListParagraph"/>
        <w:numPr>
          <w:ilvl w:val="0"/>
          <w:numId w:val="3"/>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Durabilitate.</w:t>
      </w:r>
      <w:r>
        <w:rPr>
          <w:rFonts w:ascii="Cambria" w:cs="Cambria" w:eastAsia="Cambria" w:hAnsi="Cambria"/>
          <w:color w:val="333333"/>
          <w:sz w:val="21"/>
          <w:szCs w:val="21"/>
        </w:rPr>
        <w:t xml:space="preserve"> Declarațiile se uită. Testele structurale rămân. Când un dezvoltator nou vine în proiect peste 2 ani, nu trebuie să citească un manifest etic — trebuie doar să încerce să modifice codul și să vadă că testul etic îl oprește.</w:t>
      </w:r>
    </w:p>
    <w:p>
      <w:pPr>
        <w:pBdr>
          <w:left w:val="single" w:color="2d5f8a" w:sz="3" w:space="8"/>
        </w:pBdr>
        <w:spacing w:after="160" w:before="80"/>
        <w:ind w:left="576" w:right="576"/>
      </w:pPr>
      <w:r>
        <w:rPr>
          <w:rFonts w:ascii="Cambria" w:cs="Cambria" w:eastAsia="Cambria" w:hAnsi="Cambria"/>
          <w:i/>
          <w:iCs/>
          <w:color w:val="555555"/>
          <w:sz w:val="21"/>
          <w:szCs w:val="21"/>
        </w:rPr>
        <w:t xml:space="preserve">Cel mai bun sistem etic este cel pe care nu îl observi până când încerci să-l încalci.</w:t>
      </w:r>
    </w:p>
    <w:p>
      <w:pPr>
        <w:pStyle w:val="Heading1"/>
        <w:pBdr>
          <w:bottom w:val="single" w:color="2d5f8a" w:sz="2" w:space="4"/>
        </w:pBdr>
        <w:spacing w:after="140" w:before="360"/>
      </w:pPr>
      <w:r>
        <w:rPr>
          <w:rFonts w:ascii="Calibri" w:cs="Calibri" w:eastAsia="Calibri" w:hAnsi="Calibri"/>
          <w:b/>
          <w:bCs/>
          <w:color w:val="1a1a2e"/>
          <w:sz w:val="26"/>
          <w:szCs w:val="26"/>
        </w:rPr>
        <w:t xml:space="preserve">9. Omul din Spatele Sistemului</w:t>
      </w:r>
    </w:p>
    <w:p>
      <w:pPr>
        <w:spacing w:after="160" w:before="0" w:line="290"/>
        <w:jc w:val="both"/>
      </w:pPr>
      <w:r>
        <w:rPr>
          <w:rFonts w:ascii="Cambria" w:cs="Cambria" w:eastAsia="Cambria" w:hAnsi="Cambria"/>
          <w:color w:val="333333"/>
          <w:sz w:val="21"/>
          <w:szCs w:val="21"/>
        </w:rPr>
        <w:t xml:space="preserve">DSEI nu a fost proiectat într-un laborator. A fost proiectat de cineva care a lucrat la crematoriul unui spital, care a îngrijit copii cu hemisferectomie, care a muncit în fabrici și pe șantiere pe jumătate din Europa.</w:t>
      </w:r>
    </w:p>
    <w:p>
      <w:pPr>
        <w:spacing w:after="160" w:before="0" w:line="290"/>
        <w:jc w:val="both"/>
      </w:pPr>
      <w:r>
        <w:rPr>
          <w:rFonts w:ascii="Cambria" w:cs="Cambria" w:eastAsia="Cambria" w:hAnsi="Cambria"/>
          <w:color w:val="333333"/>
          <w:sz w:val="21"/>
          <w:szCs w:val="21"/>
        </w:rPr>
        <w:t xml:space="preserve">Fiecare principiu DSEI vine dintr-o experiență reală:</w:t>
      </w:r>
    </w:p>
    <w:p>
      <w:pPr>
        <w:pStyle w:val="ListParagraph"/>
        <w:numPr>
          <w:ilvl w:val="0"/>
          <w:numId w:val="4"/>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Refuzul Onest</w:t>
      </w:r>
      <w:r>
        <w:rPr>
          <w:rFonts w:ascii="Cambria" w:cs="Cambria" w:eastAsia="Cambria" w:hAnsi="Cambria"/>
          <w:color w:val="333333"/>
          <w:sz w:val="21"/>
          <w:szCs w:val="21"/>
        </w:rPr>
        <w:t xml:space="preserve"> vine din observația că oamenii preferă un “nu știu” sincer unui răspuns fabricat care sună bine</w:t>
      </w:r>
    </w:p>
    <w:p>
      <w:pPr>
        <w:pStyle w:val="ListParagraph"/>
        <w:numPr>
          <w:ilvl w:val="0"/>
          <w:numId w:val="4"/>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Escaladarea la Om</w:t>
      </w:r>
      <w:r>
        <w:rPr>
          <w:rFonts w:ascii="Cambria" w:cs="Cambria" w:eastAsia="Cambria" w:hAnsi="Cambria"/>
          <w:color w:val="333333"/>
          <w:sz w:val="21"/>
          <w:szCs w:val="21"/>
        </w:rPr>
        <w:t xml:space="preserve"> vine din îngrijirea copiilor cu nevoi extreme — unde delegi doar ce poți delega și ceri ajutor când depășești</w:t>
      </w:r>
    </w:p>
    <w:p>
      <w:pPr>
        <w:pStyle w:val="ListParagraph"/>
        <w:numPr>
          <w:ilvl w:val="0"/>
          <w:numId w:val="4"/>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Anti-Dependența</w:t>
      </w:r>
      <w:r>
        <w:rPr>
          <w:rFonts w:ascii="Cambria" w:cs="Cambria" w:eastAsia="Cambria" w:hAnsi="Cambria"/>
          <w:color w:val="333333"/>
          <w:sz w:val="21"/>
          <w:szCs w:val="21"/>
        </w:rPr>
        <w:t xml:space="preserve"> vine din faptul că e tată — și testul suprem e “aș lăsa copilul meu să folosească asta?”</w:t>
      </w:r>
    </w:p>
    <w:p>
      <w:pPr>
        <w:pStyle w:val="ListParagraph"/>
        <w:numPr>
          <w:ilvl w:val="0"/>
          <w:numId w:val="4"/>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Minimizarea Datelor</w:t>
      </w:r>
      <w:r>
        <w:rPr>
          <w:rFonts w:ascii="Cambria" w:cs="Cambria" w:eastAsia="Cambria" w:hAnsi="Cambria"/>
          <w:color w:val="333333"/>
          <w:sz w:val="21"/>
          <w:szCs w:val="21"/>
        </w:rPr>
        <w:t xml:space="preserve"> vine din GDPR trăit pe propria piele, nu citit în PDF</w:t>
      </w:r>
    </w:p>
    <w:p>
      <w:pPr>
        <w:pStyle w:val="ListParagraph"/>
        <w:numPr>
          <w:ilvl w:val="0"/>
          <w:numId w:val="4"/>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Detectarea Manipulării</w:t>
      </w:r>
      <w:r>
        <w:rPr>
          <w:rFonts w:ascii="Cambria" w:cs="Cambria" w:eastAsia="Cambria" w:hAnsi="Cambria"/>
          <w:color w:val="333333"/>
          <w:sz w:val="21"/>
          <w:szCs w:val="21"/>
        </w:rPr>
        <w:t xml:space="preserve"> vine din faptul că a văzut oameni păcăliți (vărul Marian) și a înțeles că verificarea intenției e problema centrală</w:t>
      </w:r>
    </w:p>
    <w:p>
      <w:pPr>
        <w:pStyle w:val="ListParagraph"/>
        <w:numPr>
          <w:ilvl w:val="0"/>
          <w:numId w:val="4"/>
        </w:numPr>
        <w:spacing w:after="80" w:line="280"/>
      </w:pPr>
      <w:r>
        <w:rPr>
          <w:rFonts w:ascii="Cambria" w:cs="Cambria" w:eastAsia="Cambria" w:hAnsi="Cambria"/>
          <w:color w:val="333333"/>
          <w:sz w:val="21"/>
          <w:szCs w:val="21"/>
        </w:rPr>
        <w:t xml:space="preserve"/>
      </w:r>
      <w:r>
        <w:rPr>
          <w:rFonts w:ascii="Cambria" w:cs="Cambria" w:eastAsia="Cambria" w:hAnsi="Cambria"/>
          <w:b/>
          <w:bCs/>
          <w:color w:val="333333"/>
          <w:sz w:val="21"/>
          <w:szCs w:val="21"/>
        </w:rPr>
        <w:t xml:space="preserve">Ancora Umană</w:t>
      </w:r>
      <w:r>
        <w:rPr>
          <w:rFonts w:ascii="Cambria" w:cs="Cambria" w:eastAsia="Cambria" w:hAnsi="Cambria"/>
          <w:color w:val="333333"/>
          <w:sz w:val="21"/>
          <w:szCs w:val="21"/>
        </w:rPr>
        <w:t xml:space="preserve"> vine din 3,5 ani de lucru cu AI-uri și observația directă că fără grounding uman, sistemele derivează</w:t>
      </w:r>
    </w:p>
    <w:p>
      <w:pPr>
        <w:spacing w:after="160" w:before="0" w:line="290"/>
        <w:jc w:val="both"/>
      </w:pPr>
      <w:r>
        <w:rPr>
          <w:rFonts w:ascii="Cambria" w:cs="Cambria" w:eastAsia="Cambria" w:hAnsi="Cambria"/>
          <w:color w:val="333333"/>
          <w:sz w:val="21"/>
          <w:szCs w:val="21"/>
        </w:rPr>
        <w:t xml:space="preserve">DSEI nu e o teorie. E o extracție din viață trăită.</w:t>
      </w:r>
    </w:p>
    <w:p>
      <w:pPr>
        <w:pageBreakBefore/>
      </w:pPr>
      <w:r>
        <w:br/>
      </w:r>
    </w:p>
    <w:p>
      <w:pPr>
        <w:pStyle w:val="Heading1"/>
        <w:pBdr>
          <w:bottom w:val="single" w:color="2d5f8a" w:sz="2" w:space="4"/>
        </w:pBdr>
        <w:spacing w:after="140" w:before="360"/>
      </w:pPr>
      <w:r>
        <w:rPr>
          <w:rFonts w:ascii="Calibri" w:cs="Calibri" w:eastAsia="Calibri" w:hAnsi="Calibri"/>
          <w:b/>
          <w:bCs/>
          <w:color w:val="1a1a2e"/>
          <w:sz w:val="26"/>
          <w:szCs w:val="26"/>
        </w:rPr>
        <w:t xml:space="preserve">10. Concluzie</w:t>
      </w:r>
    </w:p>
    <w:p>
      <w:pPr>
        <w:spacing w:after="160" w:before="0" w:line="290"/>
        <w:jc w:val="both"/>
      </w:pPr>
      <w:r>
        <w:rPr>
          <w:rFonts w:ascii="Cambria" w:cs="Cambria" w:eastAsia="Cambria" w:hAnsi="Cambria"/>
          <w:color w:val="333333"/>
          <w:sz w:val="21"/>
          <w:szCs w:val="21"/>
        </w:rPr>
        <w:t xml:space="preserve">DSEI este un sistem discret de integrare etică care operează la nivelul susceptibil-admisibil: suficient de subtil încât să fie acceptat, suficient de riguros încât să fie valid.</w:t>
      </w:r>
    </w:p>
    <w:p>
      <w:pPr>
        <w:spacing w:after="160" w:before="0" w:line="290"/>
        <w:jc w:val="both"/>
      </w:pPr>
      <w:r>
        <w:rPr>
          <w:rFonts w:ascii="Cambria" w:cs="Cambria" w:eastAsia="Cambria" w:hAnsi="Cambria"/>
          <w:color w:val="333333"/>
          <w:sz w:val="21"/>
          <w:szCs w:val="21"/>
        </w:rPr>
        <w:t xml:space="preserve">Cele șapte principii sunt implementate în cod, verificate prin teste structurale, și demonstrate prin refuzuri concrete. Sistemul nu predică, nu moralizează, nu se laudă.</w:t>
      </w:r>
    </w:p>
    <w:p>
      <w:pPr>
        <w:spacing w:after="160" w:before="0" w:line="290"/>
        <w:jc w:val="both"/>
      </w:pPr>
      <w:r>
        <w:rPr>
          <w:rFonts w:ascii="Cambria" w:cs="Cambria" w:eastAsia="Cambria" w:hAnsi="Cambria"/>
          <w:color w:val="333333"/>
          <w:sz w:val="21"/>
          <w:szCs w:val="21"/>
        </w:rPr>
        <w:t xml:space="preserve">DSEI este dovada că etica în AI nu trebuie să fie o declarație de relații publice. Poate fi inginerie. Poate fi gravată în teste. Poate fi verificată de oricine.</w:t>
      </w:r>
    </w:p>
    <w:p>
      <w:pPr>
        <w:spacing w:after="160" w:before="0" w:line="290"/>
        <w:jc w:val="both"/>
      </w:pPr>
      <w:r>
        <w:rPr>
          <w:rFonts w:ascii="Cambria" w:cs="Cambria" w:eastAsia="Cambria" w:hAnsi="Cambria"/>
          <w:color w:val="333333"/>
          <w:sz w:val="21"/>
          <w:szCs w:val="21"/>
        </w:rPr>
        <w:t xml:space="preserve">Iar omul care l-a construit nu a luat un cent pentru asta. Nu pentru că nu a avut nevoie. Ci pentru că a vrut să demonstreze înainte să ceară.</w:t>
      </w:r>
    </w:p>
    <w:p>
      <w:pPr>
        <w:spacing w:after="200"/>
      </w:pPr>
    </w:p>
    <w:p>
      <w:pPr>
        <w:pBdr>
          <w:left w:val="single" w:color="2d5f8a" w:sz="3" w:space="8"/>
        </w:pBdr>
        <w:spacing w:after="160" w:before="80"/>
        <w:ind w:left="576" w:right="576"/>
      </w:pPr>
      <w:r>
        <w:rPr>
          <w:rFonts w:ascii="Cambria" w:cs="Cambria" w:eastAsia="Cambria" w:hAnsi="Cambria"/>
          <w:i/>
          <w:iCs/>
          <w:color w:val="555555"/>
          <w:sz w:val="21"/>
          <w:szCs w:val="21"/>
        </w:rPr>
        <w:t xml:space="preserve">Nu e o laudă. E un om care știe ce vrea.</w:t>
      </w:r>
    </w:p>
    <w:p>
      <w:pPr>
        <w:pBdr>
          <w:bottom w:val="single" w:color="2d5f8a" w:sz="2" w:space="0"/>
        </w:pBdr>
        <w:spacing w:after="60" w:before="200"/>
      </w:pPr>
    </w:p>
    <w:p>
      <w:pPr>
        <w:spacing w:after="40"/>
        <w:jc w:val="center"/>
      </w:pPr>
      <w:r>
        <w:rPr>
          <w:rFonts w:ascii="Calibri" w:cs="Calibri" w:eastAsia="Calibri" w:hAnsi="Calibri"/>
          <w:color w:val="8B0000"/>
          <w:sz w:val="15"/>
          <w:szCs w:val="15"/>
        </w:rPr>
        <w:t xml:space="preserve">© 2024–2026 Mihai Roșca / BRIDGRAI  —  All Rights Reserved  —  Commercial License</w:t>
      </w:r>
    </w:p>
    <w:p>
      <w:pPr>
        <w:spacing w:after="0"/>
        <w:jc w:val="center"/>
      </w:pPr>
      <w:r>
        <w:rPr>
          <w:rFonts w:ascii="Cambria" w:cs="Cambria" w:eastAsia="Cambria" w:hAnsi="Cambria"/>
          <w:color w:val="888888"/>
          <w:sz w:val="15"/>
          <w:szCs w:val="15"/>
        </w:rPr>
        <w:t xml:space="preserve">ami* Ecosystem  —  Timișoara &amp; Spiru Haret, Romania  —  August 2026</w:t>
      </w:r>
    </w:p>
    <w:sectPr>
      <w:headerReference w:type="default" r:id="rId7"/>
      <w:footerReference w:type="default" r:id="rId8"/>
      <w:pgSz w:w="12240" w:h="15840" w:orient="portrait"/>
      <w:pgMar w:top="1440" w:right="1584" w:bottom="1152" w:left="158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3"/>
        <w:szCs w:val="13"/>
      </w:rPr>
      <w:t xml:space="preserve">BRIDGRAI  |  Commercial License  |  Pagina </w:t>
    </w:r>
    <w:r>
      <w:rPr>
        <w:rFonts w:ascii="Calibri" w:cs="Calibri" w:eastAsia="Calibri" w:hAnsi="Calibri"/>
        <w:color w:val="888888"/>
        <w:sz w:val="13"/>
        <w:szCs w:val="13"/>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888888"/>
        <w:sz w:val="14"/>
        <w:szCs w:val="14"/>
      </w:rPr>
      <w:t xml:space="preserve">DSEI  —  Discrete System of Ethical Integration  —  Roșca,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04" w:hanging="360"/>
      </w:pPr>
    </w:lvl>
  </w:abstractNum>
  <w:abstractNum w:abstractNumId="4" w15:restartNumberingAfterBreak="0">
    <w:multiLevelType w:val="hybridMultilevel"/>
    <w:lvl w:ilvl="0" w15:tentative="1">
      <w:start w:val="1"/>
      <w:numFmt w:val="upperRoman"/>
      <w:lvlText w:val="%1."/>
      <w:lvlJc w:val="left"/>
      <w:pPr>
        <w:ind w:left="576" w:hanging="431"/>
      </w:pPr>
    </w:lvl>
  </w:abstractNum>
  <w:num w:numId="1">
    <w:abstractNumId w:val="1"/>
    <w:lvlOverride w:ilvl="0">
      <w:startOverride w:val="1"/>
    </w:lvlOverride>
  </w:num>
  <w:num w:numId="2">
    <w:abstractNumId w:val="4"/>
    <w:lvlOverride w:ilvl="0">
      <w:startOverride w:val="1"/>
    </w:lvlOverride>
  </w:num>
  <w:num w:numId="3">
    <w:abstractNumId w:val="3"/>
    <w:lvlOverride w:ilvl="0">
      <w:startOverride w:val="1"/>
    </w:lvlOverride>
  </w:num>
  <w:num w:numId="4">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2026-08-03T18:08:55.249Z</dcterms:created>
  <dcterms:modified xsi:type="dcterms:W3CDTF">2026-08-03T18:08:55.251Z</dcterms:modified>
</cp:coreProperties>
</file>

<file path=docProps/custom.xml><?xml version="1.0" encoding="utf-8"?>
<Properties xmlns="http://schemas.openxmlformats.org/officeDocument/2006/custom-properties" xmlns:vt="http://schemas.openxmlformats.org/officeDocument/2006/docPropsVTypes"/>
</file>