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0"/>
      </w:pPr>
    </w:p>
    <w:p>
      <w:pPr>
        <w:spacing w:after="100"/>
        <w:jc w:val="center"/>
      </w:pPr>
      <w:r>
        <w:rPr>
          <w:rFonts w:ascii="Calibri" w:cs="Calibri" w:eastAsia="Calibri" w:hAnsi="Calibri"/>
          <w:b/>
          <w:bCs/>
          <w:color w:val="1a1a2e"/>
          <w:sz w:val="52"/>
          <w:szCs w:val="52"/>
        </w:rPr>
        <w:t xml:space="preserve">AmiGibberishAI</w:t>
      </w:r>
    </w:p>
    <w:p>
      <w:pPr>
        <w:spacing w:after="20"/>
        <w:jc w:val="center"/>
      </w:pPr>
      <w:r>
        <w:rPr>
          <w:rFonts w:ascii="Calibri" w:cs="Calibri" w:eastAsia="Calibri" w:hAnsi="Calibri"/>
          <w:color w:val="2d5f8a"/>
          <w:sz w:val="26"/>
          <w:szCs w:val="26"/>
        </w:rPr>
        <w:t xml:space="preserve">A Semantic Interoperability, Intent-Preservation,</w:t>
      </w:r>
    </w:p>
    <w:p>
      <w:pPr>
        <w:spacing w:after="300"/>
        <w:jc w:val="center"/>
      </w:pPr>
      <w:r>
        <w:rPr>
          <w:rFonts w:ascii="Calibri" w:cs="Calibri" w:eastAsia="Calibri" w:hAnsi="Calibri"/>
          <w:color w:val="2d5f8a"/>
          <w:sz w:val="26"/>
          <w:szCs w:val="26"/>
        </w:rPr>
        <w:t xml:space="preserve">and Verification Protocol for Human–AI and AI–AI Communication</w:t>
      </w:r>
    </w:p>
    <w:p>
      <w:pPr>
        <w:pBdr>
          <w:bottom w:val="single" w:color="CCCCCC" w:sz="1" w:space="6"/>
        </w:pBdr>
        <w:spacing w:after="160" w:before="160"/>
      </w:pPr>
    </w:p>
    <w:p>
      <w:pPr>
        <w:spacing w:after="60"/>
        <w:jc w:val="center"/>
      </w:pPr>
      <w:r>
        <w:rPr>
          <w:rFonts w:ascii="Calibri" w:cs="Calibri" w:eastAsia="Calibri" w:hAnsi="Calibri"/>
          <w:b/>
          <w:bCs/>
          <w:color w:val="1a1a2e"/>
          <w:sz w:val="24"/>
          <w:szCs w:val="24"/>
        </w:rPr>
        <w:t xml:space="preserve">Mihai Roșca</w:t>
      </w:r>
    </w:p>
    <w:p>
      <w:pPr>
        <w:spacing w:after="40"/>
        <w:jc w:val="center"/>
      </w:pPr>
      <w:r>
        <w:rPr>
          <w:rFonts w:ascii="Cambria" w:cs="Cambria" w:eastAsia="Cambria" w:hAnsi="Cambria"/>
          <w:color w:val="555555"/>
          <w:sz w:val="20"/>
          <w:szCs w:val="20"/>
        </w:rPr>
        <w:t xml:space="preserve">BRIDGRAI / REAI  —  Independent Researcher</w:t>
      </w:r>
    </w:p>
    <w:p>
      <w:pPr>
        <w:spacing w:after="40"/>
        <w:jc w:val="center"/>
      </w:pPr>
      <w:r>
        <w:rPr>
          <w:rFonts w:ascii="Cambria" w:cs="Cambria" w:eastAsia="Cambria" w:hAnsi="Cambria"/>
          <w:color w:val="555555"/>
          <w:sz w:val="20"/>
          <w:szCs w:val="20"/>
        </w:rPr>
        <w:t xml:space="preserve">Timișoara, Romania</w:t>
      </w:r>
    </w:p>
    <w:p>
      <w:pPr>
        <w:spacing w:after="300"/>
        <w:jc w:val="center"/>
      </w:pPr>
      <w:r>
        <w:rPr>
          <w:rFonts w:ascii="Cambria" w:cs="Cambria" w:eastAsia="Cambria" w:hAnsi="Cambria"/>
          <w:color w:val="2d5f8a"/>
          <w:sz w:val="20"/>
          <w:szCs w:val="20"/>
        </w:rPr>
        <w:t xml:space="preserve">mihairosca1982@gmail.com</w:t>
      </w:r>
    </w:p>
    <w:p>
      <w:pPr>
        <w:spacing w:after="200"/>
        <w:jc w:val="center"/>
      </w:pPr>
      <w:r>
        <w:rPr>
          <w:rFonts w:ascii="Cambria" w:cs="Cambria" w:eastAsia="Cambria" w:hAnsi="Cambria"/>
          <w:color w:val="555555"/>
          <w:sz w:val="22"/>
          <w:szCs w:val="22"/>
        </w:rPr>
        <w:t xml:space="preserve">August 2026</w:t>
      </w:r>
    </w:p>
    <w:p>
      <w:pPr>
        <w:spacing w:after="0"/>
        <w:jc w:val="center"/>
      </w:pPr>
      <w:r>
        <w:rPr>
          <w:rFonts w:ascii="Calibri" w:cs="Calibri" w:eastAsia="Calibri" w:hAnsi="Calibri"/>
          <w:b/>
          <w:bCs/>
          <w:color w:val="8B0000"/>
          <w:sz w:val="16"/>
          <w:szCs w:val="16"/>
        </w:rPr>
        <w:t xml:space="preserve">COMMERCIAL LICENSE  —  All Rights Reserved  —  BRIDGRAI</w:t>
      </w:r>
    </w:p>
    <w:p>
      <w:pPr>
        <w:pageBreakBefore/>
      </w:pPr>
      <w:r>
        <w:br/>
      </w:r>
    </w:p>
    <w:p>
      <w:pPr>
        <w:pStyle w:val="Heading1"/>
        <w:spacing w:after="160" w:before="380"/>
        <w:jc w:val="left"/>
      </w:pPr>
      <w:r>
        <w:rPr>
          <w:rFonts w:ascii="Calibri" w:cs="Calibri" w:eastAsia="Calibri" w:hAnsi="Calibri"/>
          <w:b/>
          <w:bCs/>
          <w:color w:val="1a1a2e"/>
          <w:sz w:val="28"/>
          <w:szCs w:val="28"/>
        </w:rPr>
        <w:t xml:space="preserve">Abstract</w:t>
      </w:r>
    </w:p>
    <w:p>
      <w:pPr>
        <w:spacing w:after="180" w:before="0" w:line="300"/>
        <w:jc w:val="both"/>
      </w:pPr>
      <w:r>
        <w:rPr>
          <w:rFonts w:ascii="Cambria" w:cs="Cambria" w:eastAsia="Cambria" w:hAnsi="Cambria"/>
          <w:sz w:val="22"/>
          <w:szCs w:val="22"/>
        </w:rPr>
        <w:t xml:space="preserve">Current human–AI and AI–AI communication relies on natural language as the primary interface, a medium that is simultaneously the most expressive and the most lossy channel for transmitting structured intent. As multi-agent AI systems proliferate, semantic drift—the progressive degradation of intended meaning across agent hops—emerges as a critical failure mode that existing protocols (FIPA-ACL, ACP, standard chat interfaces) do not address at the cryptographic level.</w:t>
      </w:r>
    </w:p>
    <w:p>
      <w:pPr>
        <w:spacing w:after="180" w:before="0" w:line="300"/>
        <w:jc w:val="both"/>
      </w:pPr>
      <w:r>
        <w:rPr>
          <w:rFonts w:ascii="Cambria" w:cs="Cambria" w:eastAsia="Cambria" w:hAnsi="Cambria"/>
          <w:sz w:val="22"/>
          <w:szCs w:val="22"/>
        </w:rPr>
        <w:t xml:space="preserve">This paper presents </w:t>
      </w:r>
      <w:r>
        <w:rPr>
          <w:rFonts w:ascii="Cambria" w:cs="Cambria" w:eastAsia="Cambria" w:hAnsi="Cambria"/>
          <w:b/>
          <w:bCs/>
          <w:sz w:val="22"/>
          <w:szCs w:val="22"/>
        </w:rPr>
        <w:t xml:space="preserve">AmiGibberishAI</w:t>
      </w:r>
      <w:r>
        <w:rPr>
          <w:rFonts w:ascii="Cambria" w:cs="Cambria" w:eastAsia="Cambria" w:hAnsi="Cambria"/>
          <w:sz w:val="22"/>
          <w:szCs w:val="22"/>
        </w:rPr>
        <w:t xml:space="preserve">, a four-layer protocol comprising 32 semantic primitives across Intent, Meaning, Verification, and Structure categories, designed to preserve human intent through arbitrary communication chains. The protocol introduces the </w:t>
      </w:r>
      <w:r>
        <w:rPr>
          <w:rFonts w:ascii="Cambria" w:cs="Cambria" w:eastAsia="Cambria" w:hAnsi="Cambria"/>
          <w:b/>
          <w:bCs/>
          <w:sz w:val="22"/>
          <w:szCs w:val="22"/>
        </w:rPr>
        <w:t xml:space="preserve">Human-Anchor Principle (HAP)</w:t>
      </w:r>
      <w:r>
        <w:rPr>
          <w:rFonts w:ascii="Cambria" w:cs="Cambria" w:eastAsia="Cambria" w:hAnsi="Cambria"/>
          <w:sz w:val="22"/>
          <w:szCs w:val="22"/>
        </w:rPr>
        <w:t xml:space="preserve">: every semantic exchange must be traceable to a human-declared intent that is cryptographically signed and blockchain-anchored via the companion AmiStampAI notarization system.</w:t>
      </w:r>
    </w:p>
    <w:p>
      <w:pPr>
        <w:spacing w:after="180" w:before="0" w:line="300"/>
        <w:jc w:val="both"/>
      </w:pPr>
      <w:r>
        <w:rPr>
          <w:rFonts w:ascii="Cambria" w:cs="Cambria" w:eastAsia="Cambria" w:hAnsi="Cambria"/>
          <w:sz w:val="22"/>
          <w:szCs w:val="22"/>
        </w:rPr>
        <w:t xml:space="preserve">We formalize intent-preservation as a measurable quantity, define semantic distance metrics over embedding spaces, and prove that under HAP with dual-model anti-confabulation verification, the expected semantic drift L is bounded and strictly less than baseline protocols lacking these guarantees (Theorem 1). The verification layer employs post-quantum signatures (Dilithium-5) and Merkle-tree proofs anchored to the Tezos blockchain, ensuring tamper-evidence and quantum-resistance.</w:t>
      </w:r>
    </w:p>
    <w:p>
      <w:pPr>
        <w:spacing w:after="180" w:before="0" w:line="300"/>
        <w:jc w:val="both"/>
      </w:pPr>
      <w:r>
        <w:rPr>
          <w:rFonts w:ascii="Cambria" w:cs="Cambria" w:eastAsia="Cambria" w:hAnsi="Cambria"/>
          <w:sz w:val="22"/>
          <w:szCs w:val="22"/>
        </w:rPr>
        <w:t xml:space="preserve">Experimental evaluation on a dataset of 1,000 human-annotated intent-preservation prompts demonstrates statistically significant improvements over NL-chat (GPT-4), FIPA-ACL, and 6G Semantic Communication baselines across three metrics: semantic distance (L), hallucination error-rate (E), and human audit-score (A). The protocol is positioned within the EU AI Act compliance framework (Articles 14, 50) and the NIST AI Risk Management Framework.</w:t>
      </w:r>
    </w:p>
    <w:p>
      <w:pPr>
        <w:spacing w:after="180" w:before="0" w:line="300"/>
        <w:jc w:val="both"/>
      </w:pPr>
      <w:r>
        <w:rPr>
          <w:rFonts w:ascii="Cambria" w:cs="Cambria" w:eastAsia="Cambria" w:hAnsi="Cambria"/>
          <w:sz w:val="22"/>
          <w:szCs w:val="22"/>
        </w:rPr>
        <w:t xml:space="preserve"/>
      </w:r>
      <w:r>
        <w:rPr>
          <w:rFonts w:ascii="Cambria" w:cs="Cambria" w:eastAsia="Cambria" w:hAnsi="Cambria"/>
          <w:b/>
          <w:bCs/>
          <w:sz w:val="22"/>
          <w:szCs w:val="22"/>
        </w:rPr>
        <w:t xml:space="preserve">Keywords:</w:t>
      </w:r>
      <w:r>
        <w:rPr>
          <w:rFonts w:ascii="Cambria" w:cs="Cambria" w:eastAsia="Cambria" w:hAnsi="Cambria"/>
          <w:sz w:val="22"/>
          <w:szCs w:val="22"/>
        </w:rPr>
        <w:t xml:space="preserve"> semantic interoperability, intent-preservation, human anchor, AI-to-AI communication, post-quantum cryptography, blockchain provenance, semantic primitives, EU AI Act compliance, anti-confabulation, Tezos</w:t>
      </w:r>
    </w:p>
    <w:p>
      <w:pPr>
        <w:pageBreakBefore/>
      </w:pPr>
      <w:r>
        <w:br/>
      </w:r>
    </w:p>
    <w:p>
      <w:pPr>
        <w:pStyle w:val="Heading1"/>
        <w:spacing w:after="160" w:before="380"/>
        <w:jc w:val="left"/>
      </w:pPr>
      <w:r>
        <w:rPr>
          <w:rFonts w:ascii="Calibri" w:cs="Calibri" w:eastAsia="Calibri" w:hAnsi="Calibri"/>
          <w:b/>
          <w:bCs/>
          <w:color w:val="1a1a2e"/>
          <w:sz w:val="28"/>
          <w:szCs w:val="28"/>
        </w:rPr>
        <w:t xml:space="preserve">1. Introduction</w:t>
      </w:r>
    </w:p>
    <w:p>
      <w:pPr>
        <w:pStyle w:val="Heading2"/>
        <w:spacing w:after="160" w:before="260"/>
        <w:jc w:val="left"/>
      </w:pPr>
      <w:r>
        <w:rPr>
          <w:rFonts w:ascii="Calibri" w:cs="Calibri" w:eastAsia="Calibri" w:hAnsi="Calibri"/>
          <w:b/>
          <w:bCs/>
          <w:color w:val="1a1a2e"/>
          <w:sz w:val="24"/>
          <w:szCs w:val="24"/>
        </w:rPr>
        <w:t xml:space="preserve">1.1 Motivation: The Loss of Intent</w:t>
      </w:r>
    </w:p>
    <w:p>
      <w:pPr>
        <w:spacing w:after="180" w:before="0" w:line="300"/>
        <w:jc w:val="both"/>
      </w:pPr>
      <w:r>
        <w:rPr>
          <w:rFonts w:ascii="Cambria" w:cs="Cambria" w:eastAsia="Cambria" w:hAnsi="Cambria"/>
          <w:sz w:val="22"/>
          <w:szCs w:val="22"/>
        </w:rPr>
        <w:t xml:space="preserve">The proliferation of large language models (LLMs) has created an unprecedented expansion of human–AI interaction surfaces. Concurrently, the emergence of multi-agent architectures—where AI systems communicate with each other to accomplish complex tasks—has introduced a new class of failure modes that natural language was never designed to handle.</w:t>
      </w:r>
    </w:p>
    <w:p>
      <w:pPr>
        <w:spacing w:after="180" w:before="0" w:line="300"/>
        <w:jc w:val="both"/>
      </w:pPr>
      <w:r>
        <w:rPr>
          <w:rFonts w:ascii="Cambria" w:cs="Cambria" w:eastAsia="Cambria" w:hAnsi="Cambria"/>
          <w:sz w:val="22"/>
          <w:szCs w:val="22"/>
        </w:rPr>
        <w:t xml:space="preserve">Natural language is optimized for human-to-human communication in contexts where shared embodiment, culture, and experience provide implicit grounding. When an AI system receives a prompt, it must reconstruct intent from syntax—a fundamentally lossy process. When AI systems communicate with each other, this loss compounds: each agent re-encodes the previous agent's output into its own representational space, progressively degrading the original human intent.</w:t>
      </w:r>
    </w:p>
    <w:p>
      <w:pPr>
        <w:spacing w:after="180" w:before="0" w:line="300"/>
        <w:jc w:val="both"/>
      </w:pPr>
      <w:r>
        <w:rPr>
          <w:rFonts w:ascii="Cambria" w:cs="Cambria" w:eastAsia="Cambria" w:hAnsi="Cambria"/>
          <w:sz w:val="22"/>
          <w:szCs w:val="22"/>
        </w:rPr>
        <w:t xml:space="preserve">We term this progressive degradation </w:t>
      </w:r>
      <w:r>
        <w:rPr>
          <w:rFonts w:ascii="Cambria" w:cs="Cambria" w:eastAsia="Cambria" w:hAnsi="Cambria"/>
          <w:b/>
          <w:bCs/>
          <w:sz w:val="22"/>
          <w:szCs w:val="22"/>
        </w:rPr>
        <w:t xml:space="preserve">Semantic Drift (SD)</w:t>
      </w:r>
      <w:r>
        <w:rPr>
          <w:rFonts w:ascii="Cambria" w:cs="Cambria" w:eastAsia="Cambria" w:hAnsi="Cambria"/>
          <w:sz w:val="22"/>
          <w:szCs w:val="22"/>
        </w:rPr>
        <w:t xml:space="preserve"> and the corresponding desideratum </w:t>
      </w:r>
      <w:r>
        <w:rPr>
          <w:rFonts w:ascii="Cambria" w:cs="Cambria" w:eastAsia="Cambria" w:hAnsi="Cambria"/>
          <w:b/>
          <w:bCs/>
          <w:sz w:val="22"/>
          <w:szCs w:val="22"/>
        </w:rPr>
        <w:t xml:space="preserve">Intent-Preservation (IP)</w:t>
      </w:r>
      <w:r>
        <w:rPr>
          <w:rFonts w:ascii="Cambria" w:cs="Cambria" w:eastAsia="Cambria" w:hAnsi="Cambria"/>
          <w:sz w:val="22"/>
          <w:szCs w:val="22"/>
        </w:rPr>
        <w:t xml:space="preserve">. While semantic communications research (Wang et al., 2022) has addressed channel-level semantic encoding, and multi-agent frameworks (FIPA, 2002; ACP, 2023) have defined message-passing protocols, no existing system combines:</w:t>
      </w:r>
    </w:p>
    <w:p>
      <w:pPr>
        <w:pStyle w:val="ListParagraph"/>
        <w:numPr>
          <w:ilvl w:val="0"/>
          <w:numId w:val="2"/>
        </w:numPr>
        <w:spacing w:after="100" w:line="280"/>
      </w:pPr>
      <w:r>
        <w:rPr>
          <w:rFonts w:ascii="Cambria" w:cs="Cambria" w:eastAsia="Cambria" w:hAnsi="Cambria"/>
          <w:sz w:val="22"/>
          <w:szCs w:val="22"/>
        </w:rPr>
        <w:t xml:space="preserve">Explicit intent declaration at the human level</w:t>
      </w:r>
    </w:p>
    <w:p>
      <w:pPr>
        <w:pStyle w:val="ListParagraph"/>
        <w:numPr>
          <w:ilvl w:val="0"/>
          <w:numId w:val="2"/>
        </w:numPr>
        <w:spacing w:after="100" w:line="280"/>
      </w:pPr>
      <w:r>
        <w:rPr>
          <w:rFonts w:ascii="Cambria" w:cs="Cambria" w:eastAsia="Cambria" w:hAnsi="Cambria"/>
          <w:sz w:val="22"/>
          <w:szCs w:val="22"/>
        </w:rPr>
        <w:t xml:space="preserve">Structured semantic encoding with formal grammar</w:t>
      </w:r>
    </w:p>
    <w:p>
      <w:pPr>
        <w:pStyle w:val="ListParagraph"/>
        <w:numPr>
          <w:ilvl w:val="0"/>
          <w:numId w:val="2"/>
        </w:numPr>
        <w:spacing w:after="100" w:line="280"/>
      </w:pPr>
      <w:r>
        <w:rPr>
          <w:rFonts w:ascii="Cambria" w:cs="Cambria" w:eastAsia="Cambria" w:hAnsi="Cambria"/>
          <w:sz w:val="22"/>
          <w:szCs w:val="22"/>
        </w:rPr>
        <w:t xml:space="preserve">Cryptographic verification of intent integrity</w:t>
      </w:r>
    </w:p>
    <w:p>
      <w:pPr>
        <w:pStyle w:val="ListParagraph"/>
        <w:numPr>
          <w:ilvl w:val="0"/>
          <w:numId w:val="2"/>
        </w:numPr>
        <w:spacing w:after="100" w:line="280"/>
      </w:pPr>
      <w:r>
        <w:rPr>
          <w:rFonts w:ascii="Cambria" w:cs="Cambria" w:eastAsia="Cambria" w:hAnsi="Cambria"/>
          <w:sz w:val="22"/>
          <w:szCs w:val="22"/>
        </w:rPr>
        <w:t xml:space="preserve">Blockchain-anchored provenance for auditability</w:t>
      </w:r>
    </w:p>
    <w:p>
      <w:pPr>
        <w:pStyle w:val="ListParagraph"/>
        <w:numPr>
          <w:ilvl w:val="0"/>
          <w:numId w:val="2"/>
        </w:numPr>
        <w:spacing w:after="100" w:line="280"/>
      </w:pPr>
      <w:r>
        <w:rPr>
          <w:rFonts w:ascii="Cambria" w:cs="Cambria" w:eastAsia="Cambria" w:hAnsi="Cambria"/>
          <w:sz w:val="22"/>
          <w:szCs w:val="22"/>
        </w:rPr>
        <w:t xml:space="preserve">Post-quantum signature resistance</w:t>
      </w:r>
    </w:p>
    <w:p>
      <w:pPr>
        <w:spacing w:after="180" w:before="0" w:line="300"/>
        <w:jc w:val="both"/>
      </w:pPr>
      <w:r>
        <w:rPr>
          <w:rFonts w:ascii="Cambria" w:cs="Cambria" w:eastAsia="Cambria" w:hAnsi="Cambria"/>
          <w:sz w:val="22"/>
          <w:szCs w:val="22"/>
        </w:rPr>
        <w:t xml:space="preserve">AmiGibberishAI is designed to fill this gap.</w:t>
      </w:r>
    </w:p>
    <w:p>
      <w:pPr>
        <w:pStyle w:val="Heading2"/>
        <w:spacing w:after="160" w:before="260"/>
        <w:jc w:val="left"/>
      </w:pPr>
      <w:r>
        <w:rPr>
          <w:rFonts w:ascii="Calibri" w:cs="Calibri" w:eastAsia="Calibri" w:hAnsi="Calibri"/>
          <w:b/>
          <w:bCs/>
          <w:color w:val="1a1a2e"/>
          <w:sz w:val="24"/>
          <w:szCs w:val="24"/>
        </w:rPr>
        <w:t xml:space="preserve">1.2 Scope and Contributions</w:t>
      </w:r>
    </w:p>
    <w:p>
      <w:pPr>
        <w:spacing w:after="180" w:before="0" w:line="300"/>
        <w:jc w:val="both"/>
      </w:pPr>
      <w:r>
        <w:rPr>
          <w:rFonts w:ascii="Cambria" w:cs="Cambria" w:eastAsia="Cambria" w:hAnsi="Cambria"/>
          <w:sz w:val="22"/>
          <w:szCs w:val="22"/>
        </w:rPr>
        <w:t xml:space="preserve">This paper makes the following contributions:</w:t>
      </w:r>
    </w:p>
    <w:p>
      <w:pPr>
        <w:pStyle w:val="ListParagraph"/>
        <w:numPr>
          <w:ilvl w:val="0"/>
          <w:numId w:val="3"/>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Human-Anchor Principle (HAP):</w:t>
      </w:r>
      <w:r>
        <w:rPr>
          <w:rFonts w:ascii="Cambria" w:cs="Cambria" w:eastAsia="Cambria" w:hAnsi="Cambria"/>
          <w:sz w:val="22"/>
          <w:szCs w:val="22"/>
        </w:rPr>
        <w:t xml:space="preserve"> A formal principle requiring that every semantic exchange in a multi-agent pipeline be traceable to a cryptographically signed human intent declaration.</w:t>
      </w:r>
    </w:p>
    <w:p>
      <w:pPr>
        <w:pStyle w:val="ListParagraph"/>
        <w:numPr>
          <w:ilvl w:val="0"/>
          <w:numId w:val="3"/>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32 Semantic Primitives:</w:t>
      </w:r>
      <w:r>
        <w:rPr>
          <w:rFonts w:ascii="Cambria" w:cs="Cambria" w:eastAsia="Cambria" w:hAnsi="Cambria"/>
          <w:sz w:val="22"/>
          <w:szCs w:val="22"/>
        </w:rPr>
        <w:t xml:space="preserve"> A minimal, complete set of communication atoms spanning Intent (Δ), Meaning (Σ), Verification (✓/⚠), and Structure categories, with a formal EBNF grammar and LL(1) parser.</w:t>
      </w:r>
    </w:p>
    <w:p>
      <w:pPr>
        <w:pStyle w:val="ListParagraph"/>
        <w:numPr>
          <w:ilvl w:val="0"/>
          <w:numId w:val="3"/>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Intent-Preservation Bound (Theorem 1):</w:t>
      </w:r>
      <w:r>
        <w:rPr>
          <w:rFonts w:ascii="Cambria" w:cs="Cambria" w:eastAsia="Cambria" w:hAnsi="Cambria"/>
          <w:sz w:val="22"/>
          <w:szCs w:val="22"/>
        </w:rPr>
        <w:t xml:space="preserve"> A mathematical proof that the expected semantic drift under HAP with dual-model verification is strictly bounded below baseline protocols.</w:t>
      </w:r>
    </w:p>
    <w:p>
      <w:pPr>
        <w:pStyle w:val="ListParagraph"/>
        <w:numPr>
          <w:ilvl w:val="0"/>
          <w:numId w:val="3"/>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Crypto-ready Architecture:</w:t>
      </w:r>
      <w:r>
        <w:rPr>
          <w:rFonts w:ascii="Cambria" w:cs="Cambria" w:eastAsia="Cambria" w:hAnsi="Cambria"/>
          <w:sz w:val="22"/>
          <w:szCs w:val="22"/>
        </w:rPr>
        <w:t xml:space="preserve"> Integration of post-quantum signatures (Dilithium-5), Merkle-tree proofs, and Tezos blockchain anchoring for tamper-evident provenance.</w:t>
      </w:r>
    </w:p>
    <w:p>
      <w:pPr>
        <w:pStyle w:val="ListParagraph"/>
        <w:numPr>
          <w:ilvl w:val="0"/>
          <w:numId w:val="3"/>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Empirical Validation:</w:t>
      </w:r>
      <w:r>
        <w:rPr>
          <w:rFonts w:ascii="Cambria" w:cs="Cambria" w:eastAsia="Cambria" w:hAnsi="Cambria"/>
          <w:sz w:val="22"/>
          <w:szCs w:val="22"/>
        </w:rPr>
        <w:t xml:space="preserve"> Comparative evaluation against NL-chat, FIPA-ACL, and 6G-SC baselines on 1,000 human-annotated prompts.</w:t>
      </w:r>
    </w:p>
    <w:p>
      <w:pPr>
        <w:pStyle w:val="ListParagraph"/>
        <w:numPr>
          <w:ilvl w:val="0"/>
          <w:numId w:val="3"/>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Regulatory Alignment:</w:t>
      </w:r>
      <w:r>
        <w:rPr>
          <w:rFonts w:ascii="Cambria" w:cs="Cambria" w:eastAsia="Cambria" w:hAnsi="Cambria"/>
          <w:sz w:val="22"/>
          <w:szCs w:val="22"/>
        </w:rPr>
        <w:t xml:space="preserve"> Explicit mapping to EU AI Act (Articles 14, 50, Recital 134) and NIST AI RMF requirements.</w:t>
      </w:r>
    </w:p>
    <w:p>
      <w:pPr>
        <w:pStyle w:val="Heading2"/>
        <w:spacing w:after="160" w:before="260"/>
        <w:jc w:val="left"/>
      </w:pPr>
      <w:r>
        <w:rPr>
          <w:rFonts w:ascii="Calibri" w:cs="Calibri" w:eastAsia="Calibri" w:hAnsi="Calibri"/>
          <w:b/>
          <w:bCs/>
          <w:color w:val="1a1a2e"/>
          <w:sz w:val="24"/>
          <w:szCs w:val="24"/>
        </w:rPr>
        <w:t xml:space="preserve">1.3 Paper Structure</w:t>
      </w:r>
    </w:p>
    <w:p>
      <w:pPr>
        <w:spacing w:after="180" w:before="0" w:line="300"/>
        <w:jc w:val="both"/>
      </w:pPr>
      <w:r>
        <w:rPr>
          <w:rFonts w:ascii="Cambria" w:cs="Cambria" w:eastAsia="Cambria" w:hAnsi="Cambria"/>
          <w:sz w:val="22"/>
          <w:szCs w:val="22"/>
        </w:rPr>
        <w:t xml:space="preserve">Section 2 formalizes the problem. Section 3 surveys the state-of-the-art through a systematic literature review. Section 4 presents the AmiGibberishAI architecture. Section 5 provides mathematical formalization. Section 6 details the certification and provenance layer. Section 7 describes the experimental design. Section 8 presents results. Section 9 discusses implications and limitations. Section 10 outlines future work. Section 11 concludes.</w:t>
      </w:r>
    </w:p>
    <w:p>
      <w:pPr>
        <w:pageBreakBefore/>
      </w:pPr>
      <w:r>
        <w:br/>
      </w:r>
    </w:p>
    <w:p>
      <w:pPr>
        <w:pStyle w:val="Heading1"/>
        <w:spacing w:after="160" w:before="380"/>
        <w:jc w:val="left"/>
      </w:pPr>
      <w:r>
        <w:rPr>
          <w:rFonts w:ascii="Calibri" w:cs="Calibri" w:eastAsia="Calibri" w:hAnsi="Calibri"/>
          <w:b/>
          <w:bCs/>
          <w:color w:val="1a1a2e"/>
          <w:sz w:val="28"/>
          <w:szCs w:val="28"/>
        </w:rPr>
        <w:t xml:space="preserve">2. Problem Formulation</w:t>
      </w:r>
    </w:p>
    <w:p>
      <w:pPr>
        <w:pStyle w:val="Heading2"/>
        <w:spacing w:after="160" w:before="260"/>
        <w:jc w:val="left"/>
      </w:pPr>
      <w:r>
        <w:rPr>
          <w:rFonts w:ascii="Calibri" w:cs="Calibri" w:eastAsia="Calibri" w:hAnsi="Calibri"/>
          <w:b/>
          <w:bCs/>
          <w:color w:val="1a1a2e"/>
          <w:sz w:val="24"/>
          <w:szCs w:val="24"/>
        </w:rPr>
        <w:t xml:space="preserve">2.1 Defining Intent-Preservation and Semantic Drift</w:t>
      </w:r>
    </w:p>
    <w:p>
      <w:pPr>
        <w:spacing w:after="180" w:before="0" w:line="300"/>
        <w:jc w:val="both"/>
      </w:pPr>
      <w:r>
        <w:rPr>
          <w:rFonts w:ascii="Cambria" w:cs="Cambria" w:eastAsia="Cambria" w:hAnsi="Cambria"/>
          <w:sz w:val="22"/>
          <w:szCs w:val="22"/>
        </w:rPr>
        <w:t xml:space="preserve"/>
      </w:r>
      <w:r>
        <w:rPr>
          <w:rFonts w:ascii="Cambria" w:cs="Cambria" w:eastAsia="Cambria" w:hAnsi="Cambria"/>
          <w:b/>
          <w:bCs/>
          <w:sz w:val="22"/>
          <w:szCs w:val="22"/>
        </w:rPr>
        <w:t xml:space="preserve">Definition 1 (Intent).</w:t>
      </w:r>
      <w:r>
        <w:rPr>
          <w:rFonts w:ascii="Cambria" w:cs="Cambria" w:eastAsia="Cambria" w:hAnsi="Cambria"/>
          <w:sz w:val="22"/>
          <w:szCs w:val="22"/>
        </w:rPr>
        <w:t xml:space="preserve"> An intent I is a tuple (ψ, τ) where ψ ∈ ℝᵈ is a semantic vector in a d-dimensional embedding space and τ is a timestamp.</w:t>
      </w:r>
    </w:p>
    <w:p>
      <w:pPr>
        <w:spacing w:after="180" w:before="0" w:line="300"/>
        <w:jc w:val="both"/>
      </w:pPr>
      <w:r>
        <w:rPr>
          <w:rFonts w:ascii="Cambria" w:cs="Cambria" w:eastAsia="Cambria" w:hAnsi="Cambria"/>
          <w:sz w:val="22"/>
          <w:szCs w:val="22"/>
        </w:rPr>
        <w:t xml:space="preserve"/>
      </w:r>
      <w:r>
        <w:rPr>
          <w:rFonts w:ascii="Cambria" w:cs="Cambria" w:eastAsia="Cambria" w:hAnsi="Cambria"/>
          <w:b/>
          <w:bCs/>
          <w:sz w:val="22"/>
          <w:szCs w:val="22"/>
        </w:rPr>
        <w:t xml:space="preserve">Definition 2 (Intent-Preservation).</w:t>
      </w:r>
      <w:r>
        <w:rPr>
          <w:rFonts w:ascii="Cambria" w:cs="Cambria" w:eastAsia="Cambria" w:hAnsi="Cambria"/>
          <w:sz w:val="22"/>
          <w:szCs w:val="22"/>
        </w:rPr>
        <w:t xml:space="preserve"> A communication protocol P satisfies Intent-Preservation with tolerance ε if, for any input intent I₀ = (ψ₀, τ₀) and output intent I_f = (ψ_f, τ_f), the semantic distance d(I₀, I_f) ≤ ε.</w:t>
      </w:r>
    </w:p>
    <w:p>
      <w:pPr>
        <w:spacing w:after="180" w:before="0" w:line="300"/>
        <w:jc w:val="both"/>
      </w:pPr>
      <w:r>
        <w:rPr>
          <w:rFonts w:ascii="Cambria" w:cs="Cambria" w:eastAsia="Cambria" w:hAnsi="Cambria"/>
          <w:sz w:val="22"/>
          <w:szCs w:val="22"/>
        </w:rPr>
        <w:t xml:space="preserve"/>
      </w:r>
      <w:r>
        <w:rPr>
          <w:rFonts w:ascii="Cambria" w:cs="Cambria" w:eastAsia="Cambria" w:hAnsi="Cambria"/>
          <w:b/>
          <w:bCs/>
          <w:sz w:val="22"/>
          <w:szCs w:val="22"/>
        </w:rPr>
        <w:t xml:space="preserve">Definition 3 (Semantic Drift).</w:t>
      </w:r>
      <w:r>
        <w:rPr>
          <w:rFonts w:ascii="Cambria" w:cs="Cambria" w:eastAsia="Cambria" w:hAnsi="Cambria"/>
          <w:sz w:val="22"/>
          <w:szCs w:val="22"/>
        </w:rPr>
        <w:t xml:space="preserve"> The Semantic Drift of a protocol P over n agent hops is:</w:t>
      </w:r>
    </w:p>
    <w:p>
      <w:pPr>
        <w:spacing w:after="160" w:before="160"/>
        <w:jc w:val="center"/>
      </w:pPr>
      <w:r>
        <w:rPr>
          <w:rFonts w:ascii="Cambria Math" w:cs="Cambria Math" w:eastAsia="Cambria Math" w:hAnsi="Cambria Math"/>
          <w:i/>
          <w:iCs/>
          <w:color w:val="1a1a2e"/>
          <w:sz w:val="24"/>
          <w:szCs w:val="24"/>
        </w:rPr>
        <w:t xml:space="preserve">SD(P, n) = E[d(I₀, I_n)]</w:t>
      </w:r>
      <w:r>
        <w:rPr>
          <w:rFonts w:ascii="Cambria" w:cs="Cambria" w:eastAsia="Cambria" w:hAnsi="Cambria"/>
          <w:color w:val="555555"/>
          <w:sz w:val="20"/>
          <w:szCs w:val="20"/>
        </w:rPr>
        <w:t xml:space="preserve">    (1)</w:t>
      </w:r>
    </w:p>
    <w:p>
      <w:pPr>
        <w:spacing w:after="180" w:before="0" w:line="300"/>
        <w:jc w:val="both"/>
      </w:pPr>
      <w:r>
        <w:rPr>
          <w:rFonts w:ascii="Cambria" w:cs="Cambria" w:eastAsia="Cambria" w:hAnsi="Cambria"/>
          <w:sz w:val="22"/>
          <w:szCs w:val="22"/>
        </w:rPr>
        <w:t xml:space="preserve">where the expectation is taken over the distribution of intents and communication conditions.</w:t>
      </w:r>
    </w:p>
    <w:p>
      <w:pPr>
        <w:pStyle w:val="Heading2"/>
        <w:spacing w:after="160" w:before="260"/>
        <w:jc w:val="left"/>
      </w:pPr>
      <w:r>
        <w:rPr>
          <w:rFonts w:ascii="Calibri" w:cs="Calibri" w:eastAsia="Calibri" w:hAnsi="Calibri"/>
          <w:b/>
          <w:bCs/>
          <w:color w:val="1a1a2e"/>
          <w:sz w:val="24"/>
          <w:szCs w:val="24"/>
        </w:rPr>
        <w:t xml:space="preserve">2.2 Communication Model</w:t>
      </w:r>
    </w:p>
    <w:p>
      <w:pPr>
        <w:spacing w:after="180" w:before="0" w:line="300"/>
        <w:jc w:val="both"/>
      </w:pPr>
      <w:r>
        <w:rPr>
          <w:rFonts w:ascii="Cambria" w:cs="Cambria" w:eastAsia="Cambria" w:hAnsi="Cambria"/>
          <w:sz w:val="22"/>
          <w:szCs w:val="22"/>
        </w:rPr>
        <w:t xml:space="preserve">We model the communication pipeline as a five-stage process:</w:t>
      </w:r>
    </w:p>
    <w:p>
      <w:pPr>
        <w:pStyle w:val="ListParagraph"/>
        <w:numPr>
          <w:ilvl w:val="0"/>
          <w:numId w:val="3"/>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Intent Declaration:</w:t>
      </w:r>
      <w:r>
        <w:rPr>
          <w:rFonts w:ascii="Cambria" w:cs="Cambria" w:eastAsia="Cambria" w:hAnsi="Cambria"/>
          <w:sz w:val="22"/>
          <w:szCs w:val="22"/>
        </w:rPr>
        <w:t xml:space="preserve"> The human declares intent I₀ = (ψ₀, τ₀) with explicit meaning type and purpose.</w:t>
      </w:r>
    </w:p>
    <w:p>
      <w:pPr>
        <w:pStyle w:val="ListParagraph"/>
        <w:numPr>
          <w:ilvl w:val="0"/>
          <w:numId w:val="3"/>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Encoding:</w:t>
      </w:r>
      <w:r>
        <w:rPr>
          <w:rFonts w:ascii="Cambria" w:cs="Cambria" w:eastAsia="Cambria" w:hAnsi="Cambria"/>
          <w:sz w:val="22"/>
          <w:szCs w:val="22"/>
        </w:rPr>
        <w:t xml:space="preserve"> The intent is encoded into a GibberishAI expression E = encode(I₀) using the 32 semantic primitives.</w:t>
      </w:r>
    </w:p>
    <w:p>
      <w:pPr>
        <w:pStyle w:val="ListParagraph"/>
        <w:numPr>
          <w:ilvl w:val="0"/>
          <w:numId w:val="3"/>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Transmission:</w:t>
      </w:r>
      <w:r>
        <w:rPr>
          <w:rFonts w:ascii="Cambria" w:cs="Cambria" w:eastAsia="Cambria" w:hAnsi="Cambria"/>
          <w:sz w:val="22"/>
          <w:szCs w:val="22"/>
        </w:rPr>
        <w:t xml:space="preserve"> The expression E is transmitted through n agent hops, potentially with re-encoding at each hop.</w:t>
      </w:r>
    </w:p>
    <w:p>
      <w:pPr>
        <w:pStyle w:val="ListParagraph"/>
        <w:numPr>
          <w:ilvl w:val="0"/>
          <w:numId w:val="3"/>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Decoding:</w:t>
      </w:r>
      <w:r>
        <w:rPr>
          <w:rFonts w:ascii="Cambria" w:cs="Cambria" w:eastAsia="Cambria" w:hAnsi="Cambria"/>
          <w:sz w:val="22"/>
          <w:szCs w:val="22"/>
        </w:rPr>
        <w:t xml:space="preserve"> The final agent decodes the expression: I_f = decode(E_n).</w:t>
      </w:r>
    </w:p>
    <w:p>
      <w:pPr>
        <w:pStyle w:val="ListParagraph"/>
        <w:numPr>
          <w:ilvl w:val="0"/>
          <w:numId w:val="3"/>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Action:</w:t>
      </w:r>
      <w:r>
        <w:rPr>
          <w:rFonts w:ascii="Cambria" w:cs="Cambria" w:eastAsia="Cambria" w:hAnsi="Cambria"/>
          <w:sz w:val="22"/>
          <w:szCs w:val="22"/>
        </w:rPr>
        <w:t xml:space="preserve"> The decoded intent drives an action, whose alignment with I₀ is the metric of interest.</w:t>
      </w:r>
    </w:p>
    <w:p>
      <w:pPr>
        <w:spacing w:after="180" w:before="0" w:line="300"/>
        <w:jc w:val="both"/>
      </w:pPr>
      <w:r>
        <w:rPr>
          <w:rFonts w:ascii="Cambria" w:cs="Cambria" w:eastAsia="Cambria" w:hAnsi="Cambria"/>
          <w:sz w:val="22"/>
          <w:szCs w:val="22"/>
        </w:rPr>
        <w:t xml:space="preserve">At each hop k, the agent may introduce noise η_k through re-interpretation, compression, or confabulation. The protocol's task is to bound the cumulative effect of {η_k}.</w:t>
      </w:r>
    </w:p>
    <w:p>
      <w:pPr>
        <w:pStyle w:val="Heading2"/>
        <w:spacing w:after="160" w:before="260"/>
        <w:jc w:val="left"/>
      </w:pPr>
      <w:r>
        <w:rPr>
          <w:rFonts w:ascii="Calibri" w:cs="Calibri" w:eastAsia="Calibri" w:hAnsi="Calibri"/>
          <w:b/>
          <w:bCs/>
          <w:color w:val="1a1a2e"/>
          <w:sz w:val="24"/>
          <w:szCs w:val="24"/>
        </w:rPr>
        <w:t xml:space="preserve">2.3 Evaluation Metrics</w:t>
      </w:r>
    </w:p>
    <w:p>
      <w:pPr>
        <w:spacing w:after="180" w:before="0" w:line="300"/>
        <w:jc w:val="both"/>
      </w:pPr>
      <w:r>
        <w:rPr>
          <w:rFonts w:ascii="Cambria" w:cs="Cambria" w:eastAsia="Cambria" w:hAnsi="Cambria"/>
          <w:sz w:val="22"/>
          <w:szCs w:val="22"/>
        </w:rPr>
        <w:t xml:space="preserve">We evaluate protocols on three complementary metrics:</w:t>
      </w:r>
    </w:p>
    <w:p>
      <w:pPr>
        <w:spacing w:after="180" w:before="0" w:line="300"/>
        <w:jc w:val="both"/>
      </w:pPr>
      <w:r>
        <w:rPr>
          <w:rFonts w:ascii="Cambria" w:cs="Cambria" w:eastAsia="Cambria" w:hAnsi="Cambria"/>
          <w:sz w:val="22"/>
          <w:szCs w:val="22"/>
        </w:rPr>
        <w:t xml:space="preserve"/>
      </w:r>
      <w:r>
        <w:rPr>
          <w:rFonts w:ascii="Cambria" w:cs="Cambria" w:eastAsia="Cambria" w:hAnsi="Cambria"/>
          <w:b/>
          <w:bCs/>
          <w:sz w:val="22"/>
          <w:szCs w:val="22"/>
        </w:rPr>
        <w:t xml:space="preserve">Semantic Distance (L).</w:t>
      </w:r>
      <w:r>
        <w:rPr>
          <w:rFonts w:ascii="Cambria" w:cs="Cambria" w:eastAsia="Cambria" w:hAnsi="Cambria"/>
          <w:sz w:val="22"/>
          <w:szCs w:val="22"/>
        </w:rPr>
        <w:t xml:space="preserve"> The cosine distance between the original and final intent vectors:</w:t>
      </w:r>
    </w:p>
    <w:p>
      <w:pPr>
        <w:spacing w:after="160" w:before="160"/>
        <w:jc w:val="center"/>
      </w:pPr>
      <w:r>
        <w:rPr>
          <w:rFonts w:ascii="Cambria Math" w:cs="Cambria Math" w:eastAsia="Cambria Math" w:hAnsi="Cambria Math"/>
          <w:i/>
          <w:iCs/>
          <w:color w:val="1a1a2e"/>
          <w:sz w:val="24"/>
          <w:szCs w:val="24"/>
        </w:rPr>
        <w:t xml:space="preserve">L = 1 - cos(ψ₀, ψ_f) = 1 - (ψ₀ · ψ_f) / (||ψ₀|| · ||ψ_f||)</w:t>
      </w:r>
      <w:r>
        <w:rPr>
          <w:rFonts w:ascii="Cambria" w:cs="Cambria" w:eastAsia="Cambria" w:hAnsi="Cambria"/>
          <w:color w:val="555555"/>
          <w:sz w:val="20"/>
          <w:szCs w:val="20"/>
        </w:rPr>
        <w:t xml:space="preserve">    (2)</w:t>
      </w:r>
    </w:p>
    <w:p>
      <w:pPr>
        <w:spacing w:after="180" w:before="0" w:line="300"/>
        <w:jc w:val="both"/>
      </w:pPr>
      <w:r>
        <w:rPr>
          <w:rFonts w:ascii="Cambria" w:cs="Cambria" w:eastAsia="Cambria" w:hAnsi="Cambria"/>
          <w:sz w:val="22"/>
          <w:szCs w:val="22"/>
        </w:rPr>
        <w:t xml:space="preserve"/>
      </w:r>
      <w:r>
        <w:rPr>
          <w:rFonts w:ascii="Cambria" w:cs="Cambria" w:eastAsia="Cambria" w:hAnsi="Cambria"/>
          <w:b/>
          <w:bCs/>
          <w:sz w:val="22"/>
          <w:szCs w:val="22"/>
        </w:rPr>
        <w:t xml:space="preserve">Error-Rate (E).</w:t>
      </w:r>
      <w:r>
        <w:rPr>
          <w:rFonts w:ascii="Cambria" w:cs="Cambria" w:eastAsia="Cambria" w:hAnsi="Cambria"/>
          <w:sz w:val="22"/>
          <w:szCs w:val="22"/>
        </w:rPr>
        <w:t xml:space="preserve"> The fraction of communication instances where the final intent contains hallucinated content not present in I₀:</w:t>
      </w:r>
    </w:p>
    <w:p>
      <w:pPr>
        <w:spacing w:after="160" w:before="160"/>
        <w:jc w:val="center"/>
      </w:pPr>
      <w:r>
        <w:rPr>
          <w:rFonts w:ascii="Cambria Math" w:cs="Cambria Math" w:eastAsia="Cambria Math" w:hAnsi="Cambria Math"/>
          <w:i/>
          <w:iCs/>
          <w:color w:val="1a1a2e"/>
          <w:sz w:val="24"/>
          <w:szCs w:val="24"/>
        </w:rPr>
        <w:t xml:space="preserve">E = |{i : hallucination_detected(I_f^i)}| / N</w:t>
      </w:r>
      <w:r>
        <w:rPr>
          <w:rFonts w:ascii="Cambria" w:cs="Cambria" w:eastAsia="Cambria" w:hAnsi="Cambria"/>
          <w:color w:val="555555"/>
          <w:sz w:val="20"/>
          <w:szCs w:val="20"/>
        </w:rPr>
        <w:t xml:space="preserve">    (3)</w:t>
      </w:r>
    </w:p>
    <w:p>
      <w:pPr>
        <w:spacing w:after="180" w:before="0" w:line="300"/>
        <w:jc w:val="both"/>
      </w:pPr>
      <w:r>
        <w:rPr>
          <w:rFonts w:ascii="Cambria" w:cs="Cambria" w:eastAsia="Cambria" w:hAnsi="Cambria"/>
          <w:sz w:val="22"/>
          <w:szCs w:val="22"/>
        </w:rPr>
        <w:t xml:space="preserve"/>
      </w:r>
      <w:r>
        <w:rPr>
          <w:rFonts w:ascii="Cambria" w:cs="Cambria" w:eastAsia="Cambria" w:hAnsi="Cambria"/>
          <w:b/>
          <w:bCs/>
          <w:sz w:val="22"/>
          <w:szCs w:val="22"/>
        </w:rPr>
        <w:t xml:space="preserve">Audit-Score (A).</w:t>
      </w:r>
      <w:r>
        <w:rPr>
          <w:rFonts w:ascii="Cambria" w:cs="Cambria" w:eastAsia="Cambria" w:hAnsi="Cambria"/>
          <w:sz w:val="22"/>
          <w:szCs w:val="22"/>
        </w:rPr>
        <w:t xml:space="preserve"> Human reviewer rating (1–5 Likert scale) assessing whether the final action faithfully reflects the original intent, with inter-rater reliability measured by Cohen's κ.</w:t>
      </w:r>
    </w:p>
    <w:p>
      <w:pPr>
        <w:pageBreakBefore/>
      </w:pPr>
      <w:r>
        <w:br/>
      </w:r>
    </w:p>
    <w:p>
      <w:pPr>
        <w:pStyle w:val="Heading1"/>
        <w:spacing w:after="160" w:before="380"/>
        <w:jc w:val="left"/>
      </w:pPr>
      <w:r>
        <w:rPr>
          <w:rFonts w:ascii="Calibri" w:cs="Calibri" w:eastAsia="Calibri" w:hAnsi="Calibri"/>
          <w:b/>
          <w:bCs/>
          <w:color w:val="1a1a2e"/>
          <w:sz w:val="28"/>
          <w:szCs w:val="28"/>
        </w:rPr>
        <w:t xml:space="preserve">3. State-of-the-Art</w:t>
      </w:r>
    </w:p>
    <w:p>
      <w:pPr>
        <w:spacing w:after="180" w:before="0" w:line="300"/>
        <w:jc w:val="both"/>
      </w:pPr>
      <w:r>
        <w:rPr>
          <w:rFonts w:ascii="Cambria" w:cs="Cambria" w:eastAsia="Cambria" w:hAnsi="Cambria"/>
          <w:sz w:val="22"/>
          <w:szCs w:val="22"/>
        </w:rPr>
        <w:t xml:space="preserve">This section presents a systematic literature review (SLR) following PRISMA 2020 guidelines (Page et al., 2021). Search queries were executed across IEEE Xplore, ACM Digital Library, Scopus, and arXiv using keywords: </w:t>
      </w:r>
      <w:r>
        <w:rPr>
          <w:rFonts w:ascii="Cambria" w:cs="Cambria" w:eastAsia="Cambria" w:hAnsi="Cambria"/>
          <w:i/>
          <w:iCs/>
          <w:sz w:val="22"/>
          <w:szCs w:val="22"/>
        </w:rPr>
        <w:t xml:space="preserve">semantic communication</w:t>
      </w:r>
      <w:r>
        <w:rPr>
          <w:rFonts w:ascii="Cambria" w:cs="Cambria" w:eastAsia="Cambria" w:hAnsi="Cambria"/>
          <w:sz w:val="22"/>
          <w:szCs w:val="22"/>
        </w:rPr>
        <w:t xml:space="preserve">, </w:t>
      </w:r>
      <w:r>
        <w:rPr>
          <w:rFonts w:ascii="Cambria" w:cs="Cambria" w:eastAsia="Cambria" w:hAnsi="Cambria"/>
          <w:i/>
          <w:iCs/>
          <w:sz w:val="22"/>
          <w:szCs w:val="22"/>
        </w:rPr>
        <w:t xml:space="preserve">intent preservation</w:t>
      </w:r>
      <w:r>
        <w:rPr>
          <w:rFonts w:ascii="Cambria" w:cs="Cambria" w:eastAsia="Cambria" w:hAnsi="Cambria"/>
          <w:sz w:val="22"/>
          <w:szCs w:val="22"/>
        </w:rPr>
        <w:t xml:space="preserve">, </w:t>
      </w:r>
      <w:r>
        <w:rPr>
          <w:rFonts w:ascii="Cambria" w:cs="Cambria" w:eastAsia="Cambria" w:hAnsi="Cambria"/>
          <w:i/>
          <w:iCs/>
          <w:sz w:val="22"/>
          <w:szCs w:val="22"/>
        </w:rPr>
        <w:t xml:space="preserve">multi-agent interoperability</w:t>
      </w:r>
      <w:r>
        <w:rPr>
          <w:rFonts w:ascii="Cambria" w:cs="Cambria" w:eastAsia="Cambria" w:hAnsi="Cambria"/>
          <w:sz w:val="22"/>
          <w:szCs w:val="22"/>
        </w:rPr>
        <w:t xml:space="preserve">, </w:t>
      </w:r>
      <w:r>
        <w:rPr>
          <w:rFonts w:ascii="Cambria" w:cs="Cambria" w:eastAsia="Cambria" w:hAnsi="Cambria"/>
          <w:i/>
          <w:iCs/>
          <w:sz w:val="22"/>
          <w:szCs w:val="22"/>
        </w:rPr>
        <w:t xml:space="preserve">verifiable credentials</w:t>
      </w:r>
      <w:r>
        <w:rPr>
          <w:rFonts w:ascii="Cambria" w:cs="Cambria" w:eastAsia="Cambria" w:hAnsi="Cambria"/>
          <w:sz w:val="22"/>
          <w:szCs w:val="22"/>
        </w:rPr>
        <w:t xml:space="preserve">, </w:t>
      </w:r>
      <w:r>
        <w:rPr>
          <w:rFonts w:ascii="Cambria" w:cs="Cambria" w:eastAsia="Cambria" w:hAnsi="Cambria"/>
          <w:i/>
          <w:iCs/>
          <w:sz w:val="22"/>
          <w:szCs w:val="22"/>
        </w:rPr>
        <w:t xml:space="preserve">blockchain provenance</w:t>
      </w:r>
      <w:r>
        <w:rPr>
          <w:rFonts w:ascii="Cambria" w:cs="Cambria" w:eastAsia="Cambria" w:hAnsi="Cambria"/>
          <w:sz w:val="22"/>
          <w:szCs w:val="22"/>
        </w:rPr>
        <w:t xml:space="preserve">, </w:t>
      </w:r>
      <w:r>
        <w:rPr>
          <w:rFonts w:ascii="Cambria" w:cs="Cambria" w:eastAsia="Cambria" w:hAnsi="Cambria"/>
          <w:i/>
          <w:iCs/>
          <w:sz w:val="22"/>
          <w:szCs w:val="22"/>
        </w:rPr>
        <w:t xml:space="preserve">post-quantum signatures</w:t>
      </w:r>
      <w:r>
        <w:rPr>
          <w:rFonts w:ascii="Cambria" w:cs="Cambria" w:eastAsia="Cambria" w:hAnsi="Cambria"/>
          <w:sz w:val="22"/>
          <w:szCs w:val="22"/>
        </w:rPr>
        <w:t xml:space="preserve">, </w:t>
      </w:r>
      <w:r>
        <w:rPr>
          <w:rFonts w:ascii="Cambria" w:cs="Cambria" w:eastAsia="Cambria" w:hAnsi="Cambria"/>
          <w:i/>
          <w:iCs/>
          <w:sz w:val="22"/>
          <w:szCs w:val="22"/>
        </w:rPr>
        <w:t xml:space="preserve">human-in-the-loop AI</w:t>
      </w:r>
      <w:r>
        <w:rPr>
          <w:rFonts w:ascii="Cambria" w:cs="Cambria" w:eastAsia="Cambria" w:hAnsi="Cambria"/>
          <w:sz w:val="22"/>
          <w:szCs w:val="22"/>
        </w:rPr>
        <w:t xml:space="preserve">.</w:t>
      </w:r>
    </w:p>
    <w:p>
      <w:pPr>
        <w:pStyle w:val="Heading2"/>
        <w:spacing w:after="160" w:before="260"/>
        <w:jc w:val="left"/>
      </w:pPr>
      <w:r>
        <w:rPr>
          <w:rFonts w:ascii="Calibri" w:cs="Calibri" w:eastAsia="Calibri" w:hAnsi="Calibri"/>
          <w:b/>
          <w:bCs/>
          <w:color w:val="1a1a2e"/>
          <w:sz w:val="24"/>
          <w:szCs w:val="24"/>
        </w:rPr>
        <w:t xml:space="preserve">3.1 Semantic Communications</w:t>
      </w:r>
    </w:p>
    <w:p>
      <w:pPr>
        <w:spacing w:after="180" w:before="0" w:line="300"/>
        <w:jc w:val="both"/>
      </w:pPr>
      <w:r>
        <w:rPr>
          <w:rFonts w:ascii="Cambria" w:cs="Cambria" w:eastAsia="Cambria" w:hAnsi="Cambria"/>
          <w:sz w:val="22"/>
          <w:szCs w:val="22"/>
        </w:rPr>
        <w:t xml:space="preserve">The semantic communications paradigm, driven primarily by 6G research, proposes encoding meaning rather than bits (Wang et al., 2022). Xie et al. (2021) introduced DeepSC, a deep learning-based semantic communication system achieving superior performance over traditional channel coding in low-SNR regimes. Weng &amp; Qin (2021) extended this to multi-modal semantic communication.</w:t>
      </w:r>
    </w:p>
    <w:p>
      <w:pPr>
        <w:spacing w:after="180" w:before="0" w:line="300"/>
        <w:jc w:val="both"/>
      </w:pPr>
      <w:r>
        <w:rPr>
          <w:rFonts w:ascii="Cambria" w:cs="Cambria" w:eastAsia="Cambria" w:hAnsi="Cambria"/>
          <w:sz w:val="22"/>
          <w:szCs w:val="22"/>
        </w:rPr>
        <w:t xml:space="preserve">However, semantic communication research focuses on the </w:t>
      </w:r>
      <w:r>
        <w:rPr>
          <w:rFonts w:ascii="Cambria" w:cs="Cambria" w:eastAsia="Cambria" w:hAnsi="Cambria"/>
          <w:i/>
          <w:iCs/>
          <w:sz w:val="22"/>
          <w:szCs w:val="22"/>
        </w:rPr>
        <w:t xml:space="preserve">channel</w:t>
      </w:r>
      <w:r>
        <w:rPr>
          <w:rFonts w:ascii="Cambria" w:cs="Cambria" w:eastAsia="Cambria" w:hAnsi="Cambria"/>
          <w:sz w:val="22"/>
          <w:szCs w:val="22"/>
        </w:rPr>
        <w:t xml:space="preserve"> level—optimizing the transmission of semantic units between nodes—rather than the </w:t>
      </w:r>
      <w:r>
        <w:rPr>
          <w:rFonts w:ascii="Cambria" w:cs="Cambria" w:eastAsia="Cambria" w:hAnsi="Cambria"/>
          <w:i/>
          <w:iCs/>
          <w:sz w:val="22"/>
          <w:szCs w:val="22"/>
        </w:rPr>
        <w:t xml:space="preserve">application</w:t>
      </w:r>
      <w:r>
        <w:rPr>
          <w:rFonts w:ascii="Cambria" w:cs="Cambria" w:eastAsia="Cambria" w:hAnsi="Cambria"/>
          <w:sz w:val="22"/>
          <w:szCs w:val="22"/>
        </w:rPr>
        <w:t xml:space="preserve"> level—preserving human intent across multi-agent pipelines. The semantic encoding in SC frameworks is learned end-to-end for a specific channel, not designed as a human-readable protocol.</w:t>
      </w:r>
    </w:p>
    <w:p>
      <w:pPr>
        <w:pStyle w:val="Heading2"/>
        <w:spacing w:after="160" w:before="260"/>
        <w:jc w:val="left"/>
      </w:pPr>
      <w:r>
        <w:rPr>
          <w:rFonts w:ascii="Calibri" w:cs="Calibri" w:eastAsia="Calibri" w:hAnsi="Calibri"/>
          <w:b/>
          <w:bCs/>
          <w:color w:val="1a1a2e"/>
          <w:sz w:val="24"/>
          <w:szCs w:val="24"/>
        </w:rPr>
        <w:t xml:space="preserve">3.2 Multi-Agent Interoperability</w:t>
      </w:r>
    </w:p>
    <w:p>
      <w:pPr>
        <w:spacing w:after="180" w:before="0" w:line="300"/>
        <w:jc w:val="both"/>
      </w:pPr>
      <w:r>
        <w:rPr>
          <w:rFonts w:ascii="Cambria" w:cs="Cambria" w:eastAsia="Cambria" w:hAnsi="Cambria"/>
          <w:sz w:val="22"/>
          <w:szCs w:val="22"/>
        </w:rPr>
        <w:t xml:space="preserve">The Foundation for Intelligent Physical Agents (FIPA, 2002) established FIPA-ACL as a standard for agent communication with performative-based message types (inform, request, propose, etc.) and ontology specifications. While FIPA-ACL provides a structured message format, it does not include:</w:t>
      </w:r>
    </w:p>
    <w:p>
      <w:pPr>
        <w:pStyle w:val="ListParagraph"/>
        <w:numPr>
          <w:ilvl w:val="0"/>
          <w:numId w:val="2"/>
        </w:numPr>
        <w:spacing w:after="100" w:line="280"/>
      </w:pPr>
      <w:r>
        <w:rPr>
          <w:rFonts w:ascii="Cambria" w:cs="Cambria" w:eastAsia="Cambria" w:hAnsi="Cambria"/>
          <w:sz w:val="22"/>
          <w:szCs w:val="22"/>
        </w:rPr>
        <w:t xml:space="preserve">Cryptographic verification of message integrity</w:t>
      </w:r>
    </w:p>
    <w:p>
      <w:pPr>
        <w:pStyle w:val="ListParagraph"/>
        <w:numPr>
          <w:ilvl w:val="0"/>
          <w:numId w:val="2"/>
        </w:numPr>
        <w:spacing w:after="100" w:line="280"/>
      </w:pPr>
      <w:r>
        <w:rPr>
          <w:rFonts w:ascii="Cambria" w:cs="Cambria" w:eastAsia="Cambria" w:hAnsi="Cambria"/>
          <w:sz w:val="22"/>
          <w:szCs w:val="22"/>
        </w:rPr>
        <w:t xml:space="preserve">An explicit intent-preservation layer</w:t>
      </w:r>
    </w:p>
    <w:p>
      <w:pPr>
        <w:pStyle w:val="ListParagraph"/>
        <w:numPr>
          <w:ilvl w:val="0"/>
          <w:numId w:val="2"/>
        </w:numPr>
        <w:spacing w:after="100" w:line="280"/>
      </w:pPr>
      <w:r>
        <w:rPr>
          <w:rFonts w:ascii="Cambria" w:cs="Cambria" w:eastAsia="Cambria" w:hAnsi="Cambria"/>
          <w:sz w:val="22"/>
          <w:szCs w:val="22"/>
        </w:rPr>
        <w:t xml:space="preserve">Blockchain-anchored provenance</w:t>
      </w:r>
    </w:p>
    <w:p>
      <w:pPr>
        <w:spacing w:after="180" w:before="0" w:line="300"/>
        <w:jc w:val="both"/>
      </w:pPr>
      <w:r>
        <w:rPr>
          <w:rFonts w:ascii="Cambria" w:cs="Cambria" w:eastAsia="Cambria" w:hAnsi="Cambria"/>
          <w:sz w:val="22"/>
          <w:szCs w:val="22"/>
        </w:rPr>
        <w:t xml:space="preserve">The IETF draft Agent Communication Protocol (ACP, 2023) modernizes multi-agent communication for LLM-based agents but similarly lacks cryptographic verification. Google's Agent-to-Agent (A2A) protocol (2024) addresses discovery and task delegation but does not formalize intent-preservation or provide post-quantum security.</w:t>
      </w:r>
    </w:p>
    <w:p>
      <w:pPr>
        <w:pStyle w:val="Heading2"/>
        <w:spacing w:after="160" w:before="260"/>
        <w:jc w:val="left"/>
      </w:pPr>
      <w:r>
        <w:rPr>
          <w:rFonts w:ascii="Calibri" w:cs="Calibri" w:eastAsia="Calibri" w:hAnsi="Calibri"/>
          <w:b/>
          <w:bCs/>
          <w:color w:val="1a1a2e"/>
          <w:sz w:val="24"/>
          <w:szCs w:val="24"/>
        </w:rPr>
        <w:t xml:space="preserve">3.3 Human-in-the-Loop and Oversight</w:t>
      </w:r>
    </w:p>
    <w:p>
      <w:pPr>
        <w:spacing w:after="180" w:before="0" w:line="300"/>
        <w:jc w:val="both"/>
      </w:pPr>
      <w:r>
        <w:rPr>
          <w:rFonts w:ascii="Cambria" w:cs="Cambria" w:eastAsia="Cambria" w:hAnsi="Cambria"/>
          <w:sz w:val="22"/>
          <w:szCs w:val="22"/>
        </w:rPr>
        <w:t xml:space="preserve">The NIST AI Risk Management Framework (NIST, 2023) recommends human oversight, audit trails, and risk assessment for AI systems but does not specify implementation protocols. The EU AI Act (2024) mandates human oversight (Article 14) and transparency obligations (Article 50) for high-risk AI systems, including requirements for logging and traceability.</w:t>
      </w:r>
    </w:p>
    <w:p>
      <w:pPr>
        <w:spacing w:after="180" w:before="0" w:line="300"/>
        <w:jc w:val="both"/>
      </w:pPr>
      <w:r>
        <w:rPr>
          <w:rFonts w:ascii="Cambria" w:cs="Cambria" w:eastAsia="Cambria" w:hAnsi="Cambria"/>
          <w:sz w:val="22"/>
          <w:szCs w:val="22"/>
        </w:rPr>
        <w:t xml:space="preserve">Existing human-in-the-loop approaches treat human oversight as a review checkpoint rather than a structural element of the communication protocol. AmiGibberishAI's Human-Anchor Principle elevates human involvement from checkpoint to foundation: the human's declared intent is the signed root of every communication chain.</w:t>
      </w:r>
    </w:p>
    <w:p>
      <w:pPr>
        <w:pStyle w:val="Heading2"/>
        <w:spacing w:after="160" w:before="260"/>
        <w:jc w:val="left"/>
      </w:pPr>
      <w:r>
        <w:rPr>
          <w:rFonts w:ascii="Calibri" w:cs="Calibri" w:eastAsia="Calibri" w:hAnsi="Calibri"/>
          <w:b/>
          <w:bCs/>
          <w:color w:val="1a1a2e"/>
          <w:sz w:val="24"/>
          <w:szCs w:val="24"/>
        </w:rPr>
        <w:t xml:space="preserve">3.4 Provenance and Cryptographic Verification</w:t>
      </w:r>
    </w:p>
    <w:p>
      <w:pPr>
        <w:spacing w:after="180" w:before="0" w:line="300"/>
        <w:jc w:val="both"/>
      </w:pPr>
      <w:r>
        <w:rPr>
          <w:rFonts w:ascii="Cambria" w:cs="Cambria" w:eastAsia="Cambria" w:hAnsi="Cambria"/>
          <w:sz w:val="22"/>
          <w:szCs w:val="22"/>
        </w:rPr>
        <w:t xml:space="preserve">The W3C Verifiable Credentials Data Model (W3C, 2022) provides a schema for cryptographically signed claims with holder-verifier-issuer architecture. Decentralized Identifiers (DIDs) complement VCs with self-sovereign identity. Bünz et al. (2021) demonstrated ZK-ML, proving that machine learning inference can be verified without revealing training data.</w:t>
      </w:r>
    </w:p>
    <w:p>
      <w:pPr>
        <w:spacing w:after="180" w:before="0" w:line="300"/>
        <w:jc w:val="both"/>
      </w:pPr>
      <w:r>
        <w:rPr>
          <w:rFonts w:ascii="Cambria" w:cs="Cambria" w:eastAsia="Cambria" w:hAnsi="Cambria"/>
          <w:sz w:val="22"/>
          <w:szCs w:val="22"/>
        </w:rPr>
        <w:t xml:space="preserve">These approaches address specific aspects of verification (credential validity, identity, inference correctness) but do not compose them into an end-to-end intent-preservation protocol.</w:t>
      </w:r>
    </w:p>
    <w:p>
      <w:pPr>
        <w:pStyle w:val="Heading2"/>
        <w:spacing w:after="160" w:before="260"/>
        <w:jc w:val="left"/>
      </w:pPr>
      <w:r>
        <w:rPr>
          <w:rFonts w:ascii="Calibri" w:cs="Calibri" w:eastAsia="Calibri" w:hAnsi="Calibri"/>
          <w:b/>
          <w:bCs/>
          <w:color w:val="1a1a2e"/>
          <w:sz w:val="24"/>
          <w:szCs w:val="24"/>
        </w:rPr>
        <w:t xml:space="preserve">3.5 Blockchain Anchoring</w:t>
      </w:r>
    </w:p>
    <w:p>
      <w:pPr>
        <w:spacing w:after="180" w:before="0" w:line="300"/>
        <w:jc w:val="both"/>
      </w:pPr>
      <w:r>
        <w:rPr>
          <w:rFonts w:ascii="Cambria" w:cs="Cambria" w:eastAsia="Cambria" w:hAnsi="Cambria"/>
          <w:sz w:val="22"/>
          <w:szCs w:val="22"/>
        </w:rPr>
        <w:t xml:space="preserve">Tezos provides a proof-of-stake blockchain with on-chain governance and formal verification of smart contracts (Goodman, 2014). Miller (2024) demonstrated Tezos-based immutable audit trails for AI systems using Merkle-Tree timestamps. Ethereum-based approaches (e.g., OpenTimestamps) offer similar functionality but with higher gas costs and environmental impact.</w:t>
      </w:r>
    </w:p>
    <w:p>
      <w:pPr>
        <w:spacing w:after="180" w:before="0" w:line="300"/>
        <w:jc w:val="both"/>
      </w:pPr>
      <w:r>
        <w:rPr>
          <w:rFonts w:ascii="Cambria" w:cs="Cambria" w:eastAsia="Cambria" w:hAnsi="Cambria"/>
          <w:sz w:val="22"/>
          <w:szCs w:val="22"/>
        </w:rPr>
        <w:t xml:space="preserve">Existing blockchain anchoring solutions timestamp </w:t>
      </w:r>
      <w:r>
        <w:rPr>
          <w:rFonts w:ascii="Cambria" w:cs="Cambria" w:eastAsia="Cambria" w:hAnsi="Cambria"/>
          <w:i/>
          <w:iCs/>
          <w:sz w:val="22"/>
          <w:szCs w:val="22"/>
        </w:rPr>
        <w:t xml:space="preserve">content</w:t>
      </w:r>
      <w:r>
        <w:rPr>
          <w:rFonts w:ascii="Cambria" w:cs="Cambria" w:eastAsia="Cambria" w:hAnsi="Cambria"/>
          <w:sz w:val="22"/>
          <w:szCs w:val="22"/>
        </w:rPr>
        <w:t xml:space="preserve"> (that a document existed at time t) but do not timestamp </w:t>
      </w:r>
      <w:r>
        <w:rPr>
          <w:rFonts w:ascii="Cambria" w:cs="Cambria" w:eastAsia="Cambria" w:hAnsi="Cambria"/>
          <w:i/>
          <w:iCs/>
          <w:sz w:val="22"/>
          <w:szCs w:val="22"/>
        </w:rPr>
        <w:t xml:space="preserve">meaning</w:t>
      </w:r>
      <w:r>
        <w:rPr>
          <w:rFonts w:ascii="Cambria" w:cs="Cambria" w:eastAsia="Cambria" w:hAnsi="Cambria"/>
          <w:sz w:val="22"/>
          <w:szCs w:val="22"/>
        </w:rPr>
        <w:t xml:space="preserve"> (what the content signified) or </w:t>
      </w:r>
      <w:r>
        <w:rPr>
          <w:rFonts w:ascii="Cambria" w:cs="Cambria" w:eastAsia="Cambria" w:hAnsi="Cambria"/>
          <w:i/>
          <w:iCs/>
          <w:sz w:val="22"/>
          <w:szCs w:val="22"/>
        </w:rPr>
        <w:t xml:space="preserve">intention</w:t>
      </w:r>
      <w:r>
        <w:rPr>
          <w:rFonts w:ascii="Cambria" w:cs="Cambria" w:eastAsia="Cambria" w:hAnsi="Cambria"/>
          <w:sz w:val="22"/>
          <w:szCs w:val="22"/>
        </w:rPr>
        <w:t xml:space="preserve"> (why it was created). AmiStampAI (Roșca, 2026) introduced the three-dimensional certification model (existence + meaning + intention) that AmiGibberishAI builds upon.</w:t>
      </w:r>
    </w:p>
    <w:p>
      <w:pPr>
        <w:pStyle w:val="Heading2"/>
        <w:spacing w:after="160" w:before="260"/>
        <w:jc w:val="left"/>
      </w:pPr>
      <w:r>
        <w:rPr>
          <w:rFonts w:ascii="Calibri" w:cs="Calibri" w:eastAsia="Calibri" w:hAnsi="Calibri"/>
          <w:b/>
          <w:bCs/>
          <w:color w:val="1a1a2e"/>
          <w:sz w:val="24"/>
          <w:szCs w:val="24"/>
        </w:rPr>
        <w:t xml:space="preserve">3.6 Gap Analysis</w:t>
      </w:r>
    </w:p>
    <w:p>
      <w:pPr>
        <w:spacing w:after="180" w:before="0" w:line="300"/>
        <w:jc w:val="both"/>
      </w:pPr>
      <w:r>
        <w:rPr>
          <w:rFonts w:ascii="Cambria" w:cs="Cambria" w:eastAsia="Cambria" w:hAnsi="Cambria"/>
          <w:sz w:val="22"/>
          <w:szCs w:val="22"/>
        </w:rPr>
        <w:t xml:space="preserve">Table 1 presents the differentiation matrix comparing existing systems across eight capabilities. The analysis reveals that no existing system simultaneously provides all eight capabilities. AmiGibberishAI is the first protocol to combine explicit intent declaration, structured meaning types, native verification, human anchoring, multi-agent support, post-quantum cryptography, and blockchain provenance in a single coherent architecture.</w:t>
      </w:r>
    </w:p>
    <w:p>
      <w:pPr>
        <w:spacing w:after="120" w:before="240"/>
        <w:jc w:val="center"/>
      </w:pPr>
      <w:r>
        <w:rPr>
          <w:rFonts w:ascii="Calibri" w:cs="Calibri" w:eastAsia="Calibri" w:hAnsi="Calibri"/>
          <w:b/>
          <w:bCs/>
          <w:color w:val="1a1a2e"/>
          <w:sz w:val="18"/>
          <w:szCs w:val="18"/>
        </w:rPr>
        <w:t xml:space="preserve">Table 1: </w:t>
      </w:r>
      <w:r>
        <w:rPr>
          <w:rFonts w:ascii="Calibri" w:cs="Calibri" w:eastAsia="Calibri" w:hAnsi="Calibri"/>
          <w:i/>
          <w:iCs/>
          <w:color w:val="555555"/>
          <w:sz w:val="18"/>
          <w:szCs w:val="18"/>
        </w:rPr>
        <w:t xml:space="preserve">Differentiation Matrix — Capability Comparison Across Systems</w:t>
      </w:r>
    </w:p>
    <w:tbl>
      <w:tblPr>
        <w:tblW w:type="dxa" w:w="8100"/>
        <w:jc w:val="center"/>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gridCol w:w="100"/>
        <w:gridCol w:w="100"/>
        <w:gridCol w:w="100"/>
        <w:gridCol w:w="100"/>
      </w:tblGrid>
      <w:tr>
        <w:trPr>
          <w:tblHeader/>
        </w:trPr>
        <w:tc>
          <w:tcPr>
            <w:tcW w:type="dxa" w:w="1800"/>
            <w:tcBorders>
              <w:top w:val="single" w:color="BBBBBB" w:sz="1"/>
              <w:left w:val="single" w:color="DDDDDD" w:sz="1"/>
              <w:bottom w:val="single" w:color="BBBBBB" w:sz="1"/>
              <w:right w:val="single" w:color="DDDDDD" w:sz="1"/>
            </w:tcBorders>
            <w:shd w:fill="1a1a2e" w:val="clear"/>
            <w:vAlign w:val="center"/>
          </w:tcPr>
          <w:p>
            <w:pPr>
              <w:spacing w:after="40" w:before="40"/>
              <w:jc w:val="center"/>
            </w:pPr>
            <w:r>
              <w:rPr>
                <w:rFonts w:ascii="Calibri" w:cs="Calibri" w:eastAsia="Calibri" w:hAnsi="Calibri"/>
                <w:b/>
                <w:bCs/>
                <w:color w:val="FFFFFF"/>
                <w:sz w:val="16"/>
                <w:szCs w:val="16"/>
              </w:rPr>
              <w:t xml:space="preserve">System</w:t>
            </w:r>
          </w:p>
        </w:tc>
        <w:tc>
          <w:tcPr>
            <w:tcW w:type="dxa" w:w="900"/>
            <w:tcBorders>
              <w:top w:val="single" w:color="BBBBBB" w:sz="1"/>
              <w:left w:val="single" w:color="DDDDDD" w:sz="1"/>
              <w:bottom w:val="single" w:color="BBBBBB" w:sz="1"/>
              <w:right w:val="single" w:color="DDDDDD" w:sz="1"/>
            </w:tcBorders>
            <w:shd w:fill="1a1a2e" w:val="clear"/>
            <w:vAlign w:val="center"/>
          </w:tcPr>
          <w:p>
            <w:pPr>
              <w:spacing w:after="40" w:before="40"/>
              <w:jc w:val="center"/>
            </w:pPr>
            <w:r>
              <w:rPr>
                <w:rFonts w:ascii="Calibri" w:cs="Calibri" w:eastAsia="Calibri" w:hAnsi="Calibri"/>
                <w:b/>
                <w:bCs/>
                <w:color w:val="FFFFFF"/>
                <w:sz w:val="16"/>
                <w:szCs w:val="16"/>
              </w:rPr>
              <w:t xml:space="preserve">Intent</w:t>
            </w:r>
          </w:p>
        </w:tc>
        <w:tc>
          <w:tcPr>
            <w:tcW w:type="dxa" w:w="900"/>
            <w:tcBorders>
              <w:top w:val="single" w:color="BBBBBB" w:sz="1"/>
              <w:left w:val="single" w:color="DDDDDD" w:sz="1"/>
              <w:bottom w:val="single" w:color="BBBBBB" w:sz="1"/>
              <w:right w:val="single" w:color="DDDDDD" w:sz="1"/>
            </w:tcBorders>
            <w:shd w:fill="1a1a2e" w:val="clear"/>
            <w:vAlign w:val="center"/>
          </w:tcPr>
          <w:p>
            <w:pPr>
              <w:spacing w:after="40" w:before="40"/>
              <w:jc w:val="center"/>
            </w:pPr>
            <w:r>
              <w:rPr>
                <w:rFonts w:ascii="Calibri" w:cs="Calibri" w:eastAsia="Calibri" w:hAnsi="Calibri"/>
                <w:b/>
                <w:bCs/>
                <w:color w:val="FFFFFF"/>
                <w:sz w:val="16"/>
                <w:szCs w:val="16"/>
              </w:rPr>
              <w:t xml:space="preserve">Meaning</w:t>
            </w:r>
          </w:p>
        </w:tc>
        <w:tc>
          <w:tcPr>
            <w:tcW w:type="dxa" w:w="900"/>
            <w:tcBorders>
              <w:top w:val="single" w:color="BBBBBB" w:sz="1"/>
              <w:left w:val="single" w:color="DDDDDD" w:sz="1"/>
              <w:bottom w:val="single" w:color="BBBBBB" w:sz="1"/>
              <w:right w:val="single" w:color="DDDDDD" w:sz="1"/>
            </w:tcBorders>
            <w:shd w:fill="1a1a2e" w:val="clear"/>
            <w:vAlign w:val="center"/>
          </w:tcPr>
          <w:p>
            <w:pPr>
              <w:spacing w:after="40" w:before="40"/>
              <w:jc w:val="center"/>
            </w:pPr>
            <w:r>
              <w:rPr>
                <w:rFonts w:ascii="Calibri" w:cs="Calibri" w:eastAsia="Calibri" w:hAnsi="Calibri"/>
                <w:b/>
                <w:bCs/>
                <w:color w:val="FFFFFF"/>
                <w:sz w:val="16"/>
                <w:szCs w:val="16"/>
              </w:rPr>
              <w:t xml:space="preserve">Verify</w:t>
            </w:r>
          </w:p>
        </w:tc>
        <w:tc>
          <w:tcPr>
            <w:tcW w:type="dxa" w:w="900"/>
            <w:tcBorders>
              <w:top w:val="single" w:color="BBBBBB" w:sz="1"/>
              <w:left w:val="single" w:color="DDDDDD" w:sz="1"/>
              <w:bottom w:val="single" w:color="BBBBBB" w:sz="1"/>
              <w:right w:val="single" w:color="DDDDDD" w:sz="1"/>
            </w:tcBorders>
            <w:shd w:fill="1a1a2e" w:val="clear"/>
            <w:vAlign w:val="center"/>
          </w:tcPr>
          <w:p>
            <w:pPr>
              <w:spacing w:after="40" w:before="40"/>
              <w:jc w:val="center"/>
            </w:pPr>
            <w:r>
              <w:rPr>
                <w:rFonts w:ascii="Calibri" w:cs="Calibri" w:eastAsia="Calibri" w:hAnsi="Calibri"/>
                <w:b/>
                <w:bCs/>
                <w:color w:val="FFFFFF"/>
                <w:sz w:val="16"/>
                <w:szCs w:val="16"/>
              </w:rPr>
              <w:t xml:space="preserve">Human
Anchor</w:t>
            </w:r>
          </w:p>
        </w:tc>
        <w:tc>
          <w:tcPr>
            <w:tcW w:type="dxa" w:w="900"/>
            <w:tcBorders>
              <w:top w:val="single" w:color="BBBBBB" w:sz="1"/>
              <w:left w:val="single" w:color="DDDDDD" w:sz="1"/>
              <w:bottom w:val="single" w:color="BBBBBB" w:sz="1"/>
              <w:right w:val="single" w:color="DDDDDD" w:sz="1"/>
            </w:tcBorders>
            <w:shd w:fill="1a1a2e" w:val="clear"/>
            <w:vAlign w:val="center"/>
          </w:tcPr>
          <w:p>
            <w:pPr>
              <w:spacing w:after="40" w:before="40"/>
              <w:jc w:val="center"/>
            </w:pPr>
            <w:r>
              <w:rPr>
                <w:rFonts w:ascii="Calibri" w:cs="Calibri" w:eastAsia="Calibri" w:hAnsi="Calibri"/>
                <w:b/>
                <w:bCs/>
                <w:color w:val="FFFFFF"/>
                <w:sz w:val="16"/>
                <w:szCs w:val="16"/>
              </w:rPr>
              <w:t xml:space="preserve">Multi-
Agent</w:t>
            </w:r>
          </w:p>
        </w:tc>
        <w:tc>
          <w:tcPr>
            <w:tcW w:type="dxa" w:w="900"/>
            <w:tcBorders>
              <w:top w:val="single" w:color="BBBBBB" w:sz="1"/>
              <w:left w:val="single" w:color="DDDDDD" w:sz="1"/>
              <w:bottom w:val="single" w:color="BBBBBB" w:sz="1"/>
              <w:right w:val="single" w:color="DDDDDD" w:sz="1"/>
            </w:tcBorders>
            <w:shd w:fill="1a1a2e" w:val="clear"/>
            <w:vAlign w:val="center"/>
          </w:tcPr>
          <w:p>
            <w:pPr>
              <w:spacing w:after="40" w:before="40"/>
              <w:jc w:val="center"/>
            </w:pPr>
            <w:r>
              <w:rPr>
                <w:rFonts w:ascii="Calibri" w:cs="Calibri" w:eastAsia="Calibri" w:hAnsi="Calibri"/>
                <w:b/>
                <w:bCs/>
                <w:color w:val="FFFFFF"/>
                <w:sz w:val="16"/>
                <w:szCs w:val="16"/>
              </w:rPr>
              <w:t xml:space="preserve">Crypto</w:t>
            </w:r>
          </w:p>
        </w:tc>
        <w:tc>
          <w:tcPr>
            <w:tcW w:type="dxa" w:w="900"/>
            <w:tcBorders>
              <w:top w:val="single" w:color="BBBBBB" w:sz="1"/>
              <w:left w:val="single" w:color="DDDDDD" w:sz="1"/>
              <w:bottom w:val="single" w:color="BBBBBB" w:sz="1"/>
              <w:right w:val="single" w:color="DDDDDD" w:sz="1"/>
            </w:tcBorders>
            <w:shd w:fill="1a1a2e" w:val="clear"/>
            <w:vAlign w:val="center"/>
          </w:tcPr>
          <w:p>
            <w:pPr>
              <w:spacing w:after="40" w:before="40"/>
              <w:jc w:val="center"/>
            </w:pPr>
            <w:r>
              <w:rPr>
                <w:rFonts w:ascii="Calibri" w:cs="Calibri" w:eastAsia="Calibri" w:hAnsi="Calibri"/>
                <w:b/>
                <w:bCs/>
                <w:color w:val="FFFFFF"/>
                <w:sz w:val="16"/>
                <w:szCs w:val="16"/>
              </w:rPr>
              <w:t xml:space="preserve">Chain</w:t>
            </w:r>
          </w:p>
        </w:tc>
      </w:tr>
      <w:tr>
        <w:tc>
          <w:tcPr>
            <w:tcW w:type="dxa" w:w="18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val="false"/>
                <w:bCs w:val="false"/>
                <w:color w:val="1a1a1a"/>
                <w:sz w:val="18"/>
                <w:szCs w:val="18"/>
              </w:rPr>
              <w:t xml:space="preserve">NL-chat (GPT-4)</w:t>
            </w:r>
          </w:p>
        </w:tc>
        <w:tc>
          <w:tcPr>
            <w:tcW w:type="dxa" w:w="9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val="false"/>
                <w:bCs w:val="false"/>
                <w:color w:val="cc0000"/>
                <w:sz w:val="18"/>
                <w:szCs w:val="18"/>
              </w:rPr>
              <w:t xml:space="preserve">✘</w:t>
            </w:r>
          </w:p>
        </w:tc>
        <w:tc>
          <w:tcPr>
            <w:tcW w:type="dxa" w:w="9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val="false"/>
                <w:bCs w:val="false"/>
                <w:color w:val="cc0000"/>
                <w:sz w:val="18"/>
                <w:szCs w:val="18"/>
              </w:rPr>
              <w:t xml:space="preserve">✘</w:t>
            </w:r>
          </w:p>
        </w:tc>
        <w:tc>
          <w:tcPr>
            <w:tcW w:type="dxa" w:w="9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val="false"/>
                <w:bCs w:val="false"/>
                <w:color w:val="cc0000"/>
                <w:sz w:val="18"/>
                <w:szCs w:val="18"/>
              </w:rPr>
              <w:t xml:space="preserve">✘</w:t>
            </w:r>
          </w:p>
        </w:tc>
        <w:tc>
          <w:tcPr>
            <w:tcW w:type="dxa" w:w="9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val="false"/>
                <w:bCs w:val="false"/>
                <w:color w:val="2d5f8a"/>
                <w:sz w:val="18"/>
                <w:szCs w:val="18"/>
              </w:rPr>
              <w:t xml:space="preserve">✓*</w:t>
            </w:r>
          </w:p>
        </w:tc>
        <w:tc>
          <w:tcPr>
            <w:tcW w:type="dxa" w:w="9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val="false"/>
                <w:bCs w:val="false"/>
                <w:color w:val="cc0000"/>
                <w:sz w:val="18"/>
                <w:szCs w:val="18"/>
              </w:rPr>
              <w:t xml:space="preserve">✘</w:t>
            </w:r>
          </w:p>
        </w:tc>
        <w:tc>
          <w:tcPr>
            <w:tcW w:type="dxa" w:w="9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val="false"/>
                <w:bCs w:val="false"/>
                <w:color w:val="cc0000"/>
                <w:sz w:val="18"/>
                <w:szCs w:val="18"/>
              </w:rPr>
              <w:t xml:space="preserve">✘</w:t>
            </w:r>
          </w:p>
        </w:tc>
        <w:tc>
          <w:tcPr>
            <w:tcW w:type="dxa" w:w="9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val="false"/>
                <w:bCs w:val="false"/>
                <w:color w:val="cc0000"/>
                <w:sz w:val="18"/>
                <w:szCs w:val="18"/>
              </w:rPr>
              <w:t xml:space="preserve">✘</w:t>
            </w:r>
          </w:p>
        </w:tc>
      </w:tr>
      <w:tr>
        <w:tc>
          <w:tcPr>
            <w:tcW w:type="dxa" w:w="18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alibri" w:cs="Calibri" w:eastAsia="Calibri" w:hAnsi="Calibri"/>
                <w:b w:val="false"/>
                <w:bCs w:val="false"/>
                <w:color w:val="1a1a1a"/>
                <w:sz w:val="18"/>
                <w:szCs w:val="18"/>
              </w:rPr>
              <w:t xml:space="preserve">FIPA-ACL</w:t>
            </w:r>
          </w:p>
        </w:tc>
        <w:tc>
          <w:tcPr>
            <w:tcW w:type="dxa" w:w="9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alibri" w:cs="Calibri" w:eastAsia="Calibri" w:hAnsi="Calibri"/>
                <w:b w:val="false"/>
                <w:bCs w:val="false"/>
                <w:color w:val="2d5f8a"/>
                <w:sz w:val="18"/>
                <w:szCs w:val="18"/>
              </w:rPr>
              <w:t xml:space="preserve">✓</w:t>
            </w:r>
          </w:p>
        </w:tc>
        <w:tc>
          <w:tcPr>
            <w:tcW w:type="dxa" w:w="9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alibri" w:cs="Calibri" w:eastAsia="Calibri" w:hAnsi="Calibri"/>
                <w:b w:val="false"/>
                <w:bCs w:val="false"/>
                <w:color w:val="2d5f8a"/>
                <w:sz w:val="18"/>
                <w:szCs w:val="18"/>
              </w:rPr>
              <w:t xml:space="preserve">✓</w:t>
            </w:r>
          </w:p>
        </w:tc>
        <w:tc>
          <w:tcPr>
            <w:tcW w:type="dxa" w:w="9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alibri" w:cs="Calibri" w:eastAsia="Calibri" w:hAnsi="Calibri"/>
                <w:b w:val="false"/>
                <w:bCs w:val="false"/>
                <w:color w:val="cc0000"/>
                <w:sz w:val="18"/>
                <w:szCs w:val="18"/>
              </w:rPr>
              <w:t xml:space="preserve">✘</w:t>
            </w:r>
          </w:p>
        </w:tc>
        <w:tc>
          <w:tcPr>
            <w:tcW w:type="dxa" w:w="9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alibri" w:cs="Calibri" w:eastAsia="Calibri" w:hAnsi="Calibri"/>
                <w:b w:val="false"/>
                <w:bCs w:val="false"/>
                <w:color w:val="2d5f8a"/>
                <w:sz w:val="18"/>
                <w:szCs w:val="18"/>
              </w:rPr>
              <w:t xml:space="preserve">✓*</w:t>
            </w:r>
          </w:p>
        </w:tc>
        <w:tc>
          <w:tcPr>
            <w:tcW w:type="dxa" w:w="9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alibri" w:cs="Calibri" w:eastAsia="Calibri" w:hAnsi="Calibri"/>
                <w:b w:val="false"/>
                <w:bCs w:val="false"/>
                <w:color w:val="2d5f8a"/>
                <w:sz w:val="18"/>
                <w:szCs w:val="18"/>
              </w:rPr>
              <w:t xml:space="preserve">✓</w:t>
            </w:r>
          </w:p>
        </w:tc>
        <w:tc>
          <w:tcPr>
            <w:tcW w:type="dxa" w:w="9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alibri" w:cs="Calibri" w:eastAsia="Calibri" w:hAnsi="Calibri"/>
                <w:b w:val="false"/>
                <w:bCs w:val="false"/>
                <w:color w:val="cc0000"/>
                <w:sz w:val="18"/>
                <w:szCs w:val="18"/>
              </w:rPr>
              <w:t xml:space="preserve">✘</w:t>
            </w:r>
          </w:p>
        </w:tc>
        <w:tc>
          <w:tcPr>
            <w:tcW w:type="dxa" w:w="9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alibri" w:cs="Calibri" w:eastAsia="Calibri" w:hAnsi="Calibri"/>
                <w:b w:val="false"/>
                <w:bCs w:val="false"/>
                <w:color w:val="cc0000"/>
                <w:sz w:val="18"/>
                <w:szCs w:val="18"/>
              </w:rPr>
              <w:t xml:space="preserve">✘</w:t>
            </w:r>
          </w:p>
        </w:tc>
      </w:tr>
      <w:tr>
        <w:tc>
          <w:tcPr>
            <w:tcW w:type="dxa" w:w="18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val="false"/>
                <w:bCs w:val="false"/>
                <w:color w:val="1a1a1a"/>
                <w:sz w:val="18"/>
                <w:szCs w:val="18"/>
              </w:rPr>
              <w:t xml:space="preserve">SC-6G (Wang)</w:t>
            </w:r>
          </w:p>
        </w:tc>
        <w:tc>
          <w:tcPr>
            <w:tcW w:type="dxa" w:w="9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val="false"/>
                <w:bCs w:val="false"/>
                <w:color w:val="2d5f8a"/>
                <w:sz w:val="18"/>
                <w:szCs w:val="18"/>
              </w:rPr>
              <w:t xml:space="preserve">✓</w:t>
            </w:r>
          </w:p>
        </w:tc>
        <w:tc>
          <w:tcPr>
            <w:tcW w:type="dxa" w:w="9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val="false"/>
                <w:bCs w:val="false"/>
                <w:color w:val="2d5f8a"/>
                <w:sz w:val="18"/>
                <w:szCs w:val="18"/>
              </w:rPr>
              <w:t xml:space="preserve">✓</w:t>
            </w:r>
          </w:p>
        </w:tc>
        <w:tc>
          <w:tcPr>
            <w:tcW w:type="dxa" w:w="9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val="false"/>
                <w:bCs w:val="false"/>
                <w:color w:val="555555"/>
                <w:sz w:val="18"/>
                <w:szCs w:val="18"/>
              </w:rPr>
              <w:t xml:space="preserve">⚙</w:t>
            </w:r>
          </w:p>
        </w:tc>
        <w:tc>
          <w:tcPr>
            <w:tcW w:type="dxa" w:w="9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val="false"/>
                <w:bCs w:val="false"/>
                <w:color w:val="2d5f8a"/>
                <w:sz w:val="18"/>
                <w:szCs w:val="18"/>
              </w:rPr>
              <w:t xml:space="preserve">✓*</w:t>
            </w:r>
          </w:p>
        </w:tc>
        <w:tc>
          <w:tcPr>
            <w:tcW w:type="dxa" w:w="9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val="false"/>
                <w:bCs w:val="false"/>
                <w:color w:val="2d5f8a"/>
                <w:sz w:val="18"/>
                <w:szCs w:val="18"/>
              </w:rPr>
              <w:t xml:space="preserve">✓</w:t>
            </w:r>
          </w:p>
        </w:tc>
        <w:tc>
          <w:tcPr>
            <w:tcW w:type="dxa" w:w="9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val="false"/>
                <w:bCs w:val="false"/>
                <w:color w:val="cc0000"/>
                <w:sz w:val="18"/>
                <w:szCs w:val="18"/>
              </w:rPr>
              <w:t xml:space="preserve">✘</w:t>
            </w:r>
          </w:p>
        </w:tc>
        <w:tc>
          <w:tcPr>
            <w:tcW w:type="dxa" w:w="9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val="false"/>
                <w:bCs w:val="false"/>
                <w:color w:val="cc0000"/>
                <w:sz w:val="18"/>
                <w:szCs w:val="18"/>
              </w:rPr>
              <w:t xml:space="preserve">✘</w:t>
            </w:r>
          </w:p>
        </w:tc>
      </w:tr>
      <w:tr>
        <w:tc>
          <w:tcPr>
            <w:tcW w:type="dxa" w:w="18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alibri" w:cs="Calibri" w:eastAsia="Calibri" w:hAnsi="Calibri"/>
                <w:b w:val="false"/>
                <w:bCs w:val="false"/>
                <w:color w:val="1a1a1a"/>
                <w:sz w:val="18"/>
                <w:szCs w:val="18"/>
              </w:rPr>
              <w:t xml:space="preserve">W3C VC</w:t>
            </w:r>
          </w:p>
        </w:tc>
        <w:tc>
          <w:tcPr>
            <w:tcW w:type="dxa" w:w="9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alibri" w:cs="Calibri" w:eastAsia="Calibri" w:hAnsi="Calibri"/>
                <w:b w:val="false"/>
                <w:bCs w:val="false"/>
                <w:color w:val="2d5f8a"/>
                <w:sz w:val="18"/>
                <w:szCs w:val="18"/>
              </w:rPr>
              <w:t xml:space="preserve">✓</w:t>
            </w:r>
          </w:p>
        </w:tc>
        <w:tc>
          <w:tcPr>
            <w:tcW w:type="dxa" w:w="9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alibri" w:cs="Calibri" w:eastAsia="Calibri" w:hAnsi="Calibri"/>
                <w:b w:val="false"/>
                <w:bCs w:val="false"/>
                <w:color w:val="2d5f8a"/>
                <w:sz w:val="18"/>
                <w:szCs w:val="18"/>
              </w:rPr>
              <w:t xml:space="preserve">✓</w:t>
            </w:r>
          </w:p>
        </w:tc>
        <w:tc>
          <w:tcPr>
            <w:tcW w:type="dxa" w:w="9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alibri" w:cs="Calibri" w:eastAsia="Calibri" w:hAnsi="Calibri"/>
                <w:b w:val="false"/>
                <w:bCs w:val="false"/>
                <w:color w:val="2d5f8a"/>
                <w:sz w:val="18"/>
                <w:szCs w:val="18"/>
              </w:rPr>
              <w:t xml:space="preserve">✓</w:t>
            </w:r>
          </w:p>
        </w:tc>
        <w:tc>
          <w:tcPr>
            <w:tcW w:type="dxa" w:w="9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alibri" w:cs="Calibri" w:eastAsia="Calibri" w:hAnsi="Calibri"/>
                <w:b w:val="false"/>
                <w:bCs w:val="false"/>
                <w:color w:val="2d5f8a"/>
                <w:sz w:val="18"/>
                <w:szCs w:val="18"/>
              </w:rPr>
              <w:t xml:space="preserve">✓*</w:t>
            </w:r>
          </w:p>
        </w:tc>
        <w:tc>
          <w:tcPr>
            <w:tcW w:type="dxa" w:w="9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alibri" w:cs="Calibri" w:eastAsia="Calibri" w:hAnsi="Calibri"/>
                <w:b w:val="false"/>
                <w:bCs w:val="false"/>
                <w:color w:val="cc0000"/>
                <w:sz w:val="18"/>
                <w:szCs w:val="18"/>
              </w:rPr>
              <w:t xml:space="preserve">✘</w:t>
            </w:r>
          </w:p>
        </w:tc>
        <w:tc>
          <w:tcPr>
            <w:tcW w:type="dxa" w:w="9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alibri" w:cs="Calibri" w:eastAsia="Calibri" w:hAnsi="Calibri"/>
                <w:b w:val="false"/>
                <w:bCs w:val="false"/>
                <w:color w:val="2d5f8a"/>
                <w:sz w:val="18"/>
                <w:szCs w:val="18"/>
              </w:rPr>
              <w:t xml:space="preserve">✓</w:t>
            </w:r>
          </w:p>
        </w:tc>
        <w:tc>
          <w:tcPr>
            <w:tcW w:type="dxa" w:w="9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alibri" w:cs="Calibri" w:eastAsia="Calibri" w:hAnsi="Calibri"/>
                <w:b w:val="false"/>
                <w:bCs w:val="false"/>
                <w:color w:val="cc0000"/>
                <w:sz w:val="18"/>
                <w:szCs w:val="18"/>
              </w:rPr>
              <w:t xml:space="preserve">✘</w:t>
            </w:r>
          </w:p>
        </w:tc>
      </w:tr>
      <w:tr>
        <w:tc>
          <w:tcPr>
            <w:tcW w:type="dxa" w:w="18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val="false"/>
                <w:bCs w:val="false"/>
                <w:color w:val="1a1a1a"/>
                <w:sz w:val="18"/>
                <w:szCs w:val="18"/>
              </w:rPr>
              <w:t xml:space="preserve">Tezos-IPFS</w:t>
            </w:r>
          </w:p>
        </w:tc>
        <w:tc>
          <w:tcPr>
            <w:tcW w:type="dxa" w:w="9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val="false"/>
                <w:bCs w:val="false"/>
                <w:color w:val="2d5f8a"/>
                <w:sz w:val="18"/>
                <w:szCs w:val="18"/>
              </w:rPr>
              <w:t xml:space="preserve">✓</w:t>
            </w:r>
          </w:p>
        </w:tc>
        <w:tc>
          <w:tcPr>
            <w:tcW w:type="dxa" w:w="9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val="false"/>
                <w:bCs w:val="false"/>
                <w:color w:val="2d5f8a"/>
                <w:sz w:val="18"/>
                <w:szCs w:val="18"/>
              </w:rPr>
              <w:t xml:space="preserve">✓</w:t>
            </w:r>
          </w:p>
        </w:tc>
        <w:tc>
          <w:tcPr>
            <w:tcW w:type="dxa" w:w="9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val="false"/>
                <w:bCs w:val="false"/>
                <w:color w:val="2d5f8a"/>
                <w:sz w:val="18"/>
                <w:szCs w:val="18"/>
              </w:rPr>
              <w:t xml:space="preserve">✓</w:t>
            </w:r>
          </w:p>
        </w:tc>
        <w:tc>
          <w:tcPr>
            <w:tcW w:type="dxa" w:w="9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val="false"/>
                <w:bCs w:val="false"/>
                <w:color w:val="2d5f8a"/>
                <w:sz w:val="18"/>
                <w:szCs w:val="18"/>
              </w:rPr>
              <w:t xml:space="preserve">✓*</w:t>
            </w:r>
          </w:p>
        </w:tc>
        <w:tc>
          <w:tcPr>
            <w:tcW w:type="dxa" w:w="9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val="false"/>
                <w:bCs w:val="false"/>
                <w:color w:val="2d5f8a"/>
                <w:sz w:val="18"/>
                <w:szCs w:val="18"/>
              </w:rPr>
              <w:t xml:space="preserve">✓</w:t>
            </w:r>
          </w:p>
        </w:tc>
        <w:tc>
          <w:tcPr>
            <w:tcW w:type="dxa" w:w="9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val="false"/>
                <w:bCs w:val="false"/>
                <w:color w:val="2d5f8a"/>
                <w:sz w:val="18"/>
                <w:szCs w:val="18"/>
              </w:rPr>
              <w:t xml:space="preserve">✓</w:t>
            </w:r>
          </w:p>
        </w:tc>
        <w:tc>
          <w:tcPr>
            <w:tcW w:type="dxa" w:w="9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val="false"/>
                <w:bCs w:val="false"/>
                <w:color w:val="2d5f8a"/>
                <w:sz w:val="18"/>
                <w:szCs w:val="18"/>
              </w:rPr>
              <w:t xml:space="preserve">✓</w:t>
            </w:r>
          </w:p>
        </w:tc>
      </w:tr>
      <w:tr>
        <w:tc>
          <w:tcPr>
            <w:tcW w:type="dxa" w:w="1800"/>
            <w:tcBorders>
              <w:top w:val="single" w:color="BBBBBB" w:sz="1"/>
              <w:left w:val="single" w:color="DDDDDD" w:sz="1"/>
              <w:bottom w:val="single" w:color="BBBBBB" w:sz="1"/>
              <w:right w:val="single" w:color="DDDDDD" w:sz="1"/>
            </w:tcBorders>
            <w:shd w:fill="e8f5e9" w:val="clear"/>
            <w:vAlign w:val="center"/>
          </w:tcPr>
          <w:p>
            <w:pPr>
              <w:spacing w:after="40" w:before="40"/>
              <w:jc w:val="center"/>
            </w:pPr>
            <w:r>
              <w:rPr>
                <w:rFonts w:ascii="Calibri" w:cs="Calibri" w:eastAsia="Calibri" w:hAnsi="Calibri"/>
                <w:b/>
                <w:bCs/>
                <w:color w:val="1a1a1a"/>
                <w:sz w:val="18"/>
                <w:szCs w:val="18"/>
              </w:rPr>
              <w:t xml:space="preserve">AmiGibberishAI</w:t>
            </w:r>
          </w:p>
        </w:tc>
        <w:tc>
          <w:tcPr>
            <w:tcW w:type="dxa" w:w="900"/>
            <w:tcBorders>
              <w:top w:val="single" w:color="BBBBBB" w:sz="1"/>
              <w:left w:val="single" w:color="DDDDDD" w:sz="1"/>
              <w:bottom w:val="single" w:color="BBBBBB" w:sz="1"/>
              <w:right w:val="single" w:color="DDDDDD" w:sz="1"/>
            </w:tcBorders>
            <w:shd w:fill="e8f5e9" w:val="clear"/>
            <w:vAlign w:val="center"/>
          </w:tcPr>
          <w:p>
            <w:pPr>
              <w:spacing w:after="40" w:before="40"/>
              <w:jc w:val="center"/>
            </w:pPr>
            <w:r>
              <w:rPr>
                <w:rFonts w:ascii="Calibri" w:cs="Calibri" w:eastAsia="Calibri" w:hAnsi="Calibri"/>
                <w:b/>
                <w:bCs/>
                <w:color w:val="1a6b4a"/>
                <w:sz w:val="18"/>
                <w:szCs w:val="18"/>
              </w:rPr>
              <w:t xml:space="preserve">✓✓</w:t>
            </w:r>
          </w:p>
        </w:tc>
        <w:tc>
          <w:tcPr>
            <w:tcW w:type="dxa" w:w="900"/>
            <w:tcBorders>
              <w:top w:val="single" w:color="BBBBBB" w:sz="1"/>
              <w:left w:val="single" w:color="DDDDDD" w:sz="1"/>
              <w:bottom w:val="single" w:color="BBBBBB" w:sz="1"/>
              <w:right w:val="single" w:color="DDDDDD" w:sz="1"/>
            </w:tcBorders>
            <w:shd w:fill="e8f5e9" w:val="clear"/>
            <w:vAlign w:val="center"/>
          </w:tcPr>
          <w:p>
            <w:pPr>
              <w:spacing w:after="40" w:before="40"/>
              <w:jc w:val="center"/>
            </w:pPr>
            <w:r>
              <w:rPr>
                <w:rFonts w:ascii="Calibri" w:cs="Calibri" w:eastAsia="Calibri" w:hAnsi="Calibri"/>
                <w:b/>
                <w:bCs/>
                <w:color w:val="1a6b4a"/>
                <w:sz w:val="18"/>
                <w:szCs w:val="18"/>
              </w:rPr>
              <w:t xml:space="preserve">✓✓</w:t>
            </w:r>
          </w:p>
        </w:tc>
        <w:tc>
          <w:tcPr>
            <w:tcW w:type="dxa" w:w="900"/>
            <w:tcBorders>
              <w:top w:val="single" w:color="BBBBBB" w:sz="1"/>
              <w:left w:val="single" w:color="DDDDDD" w:sz="1"/>
              <w:bottom w:val="single" w:color="BBBBBB" w:sz="1"/>
              <w:right w:val="single" w:color="DDDDDD" w:sz="1"/>
            </w:tcBorders>
            <w:shd w:fill="e8f5e9" w:val="clear"/>
            <w:vAlign w:val="center"/>
          </w:tcPr>
          <w:p>
            <w:pPr>
              <w:spacing w:after="40" w:before="40"/>
              <w:jc w:val="center"/>
            </w:pPr>
            <w:r>
              <w:rPr>
                <w:rFonts w:ascii="Calibri" w:cs="Calibri" w:eastAsia="Calibri" w:hAnsi="Calibri"/>
                <w:b/>
                <w:bCs/>
                <w:color w:val="1a6b4a"/>
                <w:sz w:val="18"/>
                <w:szCs w:val="18"/>
              </w:rPr>
              <w:t xml:space="preserve">✓✓</w:t>
            </w:r>
          </w:p>
        </w:tc>
        <w:tc>
          <w:tcPr>
            <w:tcW w:type="dxa" w:w="900"/>
            <w:tcBorders>
              <w:top w:val="single" w:color="BBBBBB" w:sz="1"/>
              <w:left w:val="single" w:color="DDDDDD" w:sz="1"/>
              <w:bottom w:val="single" w:color="BBBBBB" w:sz="1"/>
              <w:right w:val="single" w:color="DDDDDD" w:sz="1"/>
            </w:tcBorders>
            <w:shd w:fill="e8f5e9" w:val="clear"/>
            <w:vAlign w:val="center"/>
          </w:tcPr>
          <w:p>
            <w:pPr>
              <w:spacing w:after="40" w:before="40"/>
              <w:jc w:val="center"/>
            </w:pPr>
            <w:r>
              <w:rPr>
                <w:rFonts w:ascii="Calibri" w:cs="Calibri" w:eastAsia="Calibri" w:hAnsi="Calibri"/>
                <w:b/>
                <w:bCs/>
                <w:color w:val="1a6b4a"/>
                <w:sz w:val="18"/>
                <w:szCs w:val="18"/>
              </w:rPr>
              <w:t xml:space="preserve">✓✓</w:t>
            </w:r>
          </w:p>
        </w:tc>
        <w:tc>
          <w:tcPr>
            <w:tcW w:type="dxa" w:w="900"/>
            <w:tcBorders>
              <w:top w:val="single" w:color="BBBBBB" w:sz="1"/>
              <w:left w:val="single" w:color="DDDDDD" w:sz="1"/>
              <w:bottom w:val="single" w:color="BBBBBB" w:sz="1"/>
              <w:right w:val="single" w:color="DDDDDD" w:sz="1"/>
            </w:tcBorders>
            <w:shd w:fill="e8f5e9" w:val="clear"/>
            <w:vAlign w:val="center"/>
          </w:tcPr>
          <w:p>
            <w:pPr>
              <w:spacing w:after="40" w:before="40"/>
              <w:jc w:val="center"/>
            </w:pPr>
            <w:r>
              <w:rPr>
                <w:rFonts w:ascii="Calibri" w:cs="Calibri" w:eastAsia="Calibri" w:hAnsi="Calibri"/>
                <w:b/>
                <w:bCs/>
                <w:color w:val="1a6b4a"/>
                <w:sz w:val="18"/>
                <w:szCs w:val="18"/>
              </w:rPr>
              <w:t xml:space="preserve">✓✓</w:t>
            </w:r>
          </w:p>
        </w:tc>
        <w:tc>
          <w:tcPr>
            <w:tcW w:type="dxa" w:w="900"/>
            <w:tcBorders>
              <w:top w:val="single" w:color="BBBBBB" w:sz="1"/>
              <w:left w:val="single" w:color="DDDDDD" w:sz="1"/>
              <w:bottom w:val="single" w:color="BBBBBB" w:sz="1"/>
              <w:right w:val="single" w:color="DDDDDD" w:sz="1"/>
            </w:tcBorders>
            <w:shd w:fill="e8f5e9" w:val="clear"/>
            <w:vAlign w:val="center"/>
          </w:tcPr>
          <w:p>
            <w:pPr>
              <w:spacing w:after="40" w:before="40"/>
              <w:jc w:val="center"/>
            </w:pPr>
            <w:r>
              <w:rPr>
                <w:rFonts w:ascii="Calibri" w:cs="Calibri" w:eastAsia="Calibri" w:hAnsi="Calibri"/>
                <w:b/>
                <w:bCs/>
                <w:color w:val="1a6b4a"/>
                <w:sz w:val="18"/>
                <w:szCs w:val="18"/>
              </w:rPr>
              <w:t xml:space="preserve">✓✓</w:t>
            </w:r>
          </w:p>
        </w:tc>
        <w:tc>
          <w:tcPr>
            <w:tcW w:type="dxa" w:w="900"/>
            <w:tcBorders>
              <w:top w:val="single" w:color="BBBBBB" w:sz="1"/>
              <w:left w:val="single" w:color="DDDDDD" w:sz="1"/>
              <w:bottom w:val="single" w:color="BBBBBB" w:sz="1"/>
              <w:right w:val="single" w:color="DDDDDD" w:sz="1"/>
            </w:tcBorders>
            <w:shd w:fill="e8f5e9" w:val="clear"/>
            <w:vAlign w:val="center"/>
          </w:tcPr>
          <w:p>
            <w:pPr>
              <w:spacing w:after="40" w:before="40"/>
              <w:jc w:val="center"/>
            </w:pPr>
            <w:r>
              <w:rPr>
                <w:rFonts w:ascii="Calibri" w:cs="Calibri" w:eastAsia="Calibri" w:hAnsi="Calibri"/>
                <w:b/>
                <w:bCs/>
                <w:color w:val="1a6b4a"/>
                <w:sz w:val="18"/>
                <w:szCs w:val="18"/>
              </w:rPr>
              <w:t xml:space="preserve">✓✓</w:t>
            </w:r>
          </w:p>
        </w:tc>
      </w:tr>
    </w:tbl>
    <w:p>
      <w:pPr>
        <w:spacing w:after="40" w:before="0" w:line="300"/>
        <w:jc w:val="both"/>
      </w:pPr>
      <w:r>
        <w:rPr>
          <w:rFonts w:ascii="Cambria" w:cs="Cambria" w:eastAsia="Cambria" w:hAnsi="Cambria"/>
          <w:i/>
          <w:iCs/>
          <w:color w:val="555555"/>
          <w:sz w:val="17"/>
          <w:szCs w:val="17"/>
        </w:rPr>
        <w:t xml:space="preserve">* Passive human involvement (feedback/review), not structural anchoring.</w:t>
      </w:r>
    </w:p>
    <w:p>
      <w:pPr>
        <w:spacing w:after="180" w:before="0" w:line="300"/>
        <w:jc w:val="both"/>
      </w:pPr>
      <w:r>
        <w:rPr>
          <w:rFonts w:ascii="Cambria" w:cs="Cambria" w:eastAsia="Cambria" w:hAnsi="Cambria"/>
          <w:i/>
          <w:iCs/>
          <w:color w:val="555555"/>
          <w:sz w:val="17"/>
          <w:szCs w:val="17"/>
        </w:rPr>
        <w:t xml:space="preserve">✓✓ = native, first-class support. ✓ = partial support. ⚙ = mechanism exists but not crypto-verified. ✘ = absent.</w:t>
      </w:r>
    </w:p>
    <w:p>
      <w:pPr>
        <w:pageBreakBefore/>
      </w:pPr>
      <w:r>
        <w:br/>
      </w:r>
    </w:p>
    <w:p>
      <w:pPr>
        <w:pStyle w:val="Heading1"/>
        <w:spacing w:after="160" w:before="380"/>
        <w:jc w:val="left"/>
      </w:pPr>
      <w:r>
        <w:rPr>
          <w:rFonts w:ascii="Calibri" w:cs="Calibri" w:eastAsia="Calibri" w:hAnsi="Calibri"/>
          <w:b/>
          <w:bCs/>
          <w:color w:val="1a1a2e"/>
          <w:sz w:val="28"/>
          <w:szCs w:val="28"/>
        </w:rPr>
        <w:t xml:space="preserve">4. AmiGibberishAI Architecture</w:t>
      </w:r>
    </w:p>
    <w:p>
      <w:pPr>
        <w:pStyle w:val="Heading2"/>
        <w:spacing w:after="160" w:before="260"/>
        <w:jc w:val="left"/>
      </w:pPr>
      <w:r>
        <w:rPr>
          <w:rFonts w:ascii="Calibri" w:cs="Calibri" w:eastAsia="Calibri" w:hAnsi="Calibri"/>
          <w:b/>
          <w:bCs/>
          <w:color w:val="1a1a2e"/>
          <w:sz w:val="24"/>
          <w:szCs w:val="24"/>
        </w:rPr>
        <w:t xml:space="preserve">4.1 Human-Anchor Principle (HAP)</w:t>
      </w:r>
    </w:p>
    <w:p>
      <w:pPr>
        <w:spacing w:after="180" w:before="0" w:line="300"/>
        <w:jc w:val="both"/>
      </w:pPr>
      <w:r>
        <w:rPr>
          <w:rFonts w:ascii="Cambria" w:cs="Cambria" w:eastAsia="Cambria" w:hAnsi="Cambria"/>
          <w:sz w:val="22"/>
          <w:szCs w:val="22"/>
        </w:rPr>
        <w:t xml:space="preserve"/>
      </w:r>
      <w:r>
        <w:rPr>
          <w:rFonts w:ascii="Cambria" w:cs="Cambria" w:eastAsia="Cambria" w:hAnsi="Cambria"/>
          <w:b/>
          <w:bCs/>
          <w:sz w:val="22"/>
          <w:szCs w:val="22"/>
        </w:rPr>
        <w:t xml:space="preserve">Principle 1 (Human-Anchor Principle).</w:t>
      </w:r>
      <w:r>
        <w:rPr>
          <w:rFonts w:ascii="Cambria" w:cs="Cambria" w:eastAsia="Cambria" w:hAnsi="Cambria"/>
          <w:sz w:val="22"/>
          <w:szCs w:val="22"/>
        </w:rPr>
        <w:t xml:space="preserve"> Every semantic exchange in a multi-agent communication pipeline MUST be traceable to a human-declared intent I₀ = (ψ₀, τ₀) that satisfies:</w:t>
      </w:r>
    </w:p>
    <w:p>
      <w:pPr>
        <w:pStyle w:val="ListParagraph"/>
        <w:numPr>
          <w:ilvl w:val="0"/>
          <w:numId w:val="2"/>
        </w:numPr>
        <w:spacing w:after="100" w:line="280"/>
      </w:pPr>
      <w:r>
        <w:rPr>
          <w:rFonts w:ascii="Cambria" w:cs="Cambria" w:eastAsia="Cambria" w:hAnsi="Cambria"/>
          <w:sz w:val="22"/>
          <w:szCs w:val="22"/>
        </w:rPr>
        <w:t xml:space="preserve">I₀ is explicitly declared by a human agent (not inferred or generated)</w:t>
      </w:r>
    </w:p>
    <w:p>
      <w:pPr>
        <w:pStyle w:val="ListParagraph"/>
        <w:numPr>
          <w:ilvl w:val="0"/>
          <w:numId w:val="2"/>
        </w:numPr>
        <w:spacing w:after="100" w:line="280"/>
      </w:pPr>
      <w:r>
        <w:rPr>
          <w:rFonts w:ascii="Cambria" w:cs="Cambria" w:eastAsia="Cambria" w:hAnsi="Cambria"/>
          <w:sz w:val="22"/>
          <w:szCs w:val="22"/>
        </w:rPr>
        <w:t xml:space="preserve">I₀ is cryptographically signed with the human's private key</w:t>
      </w:r>
    </w:p>
    <w:p>
      <w:pPr>
        <w:pStyle w:val="ListParagraph"/>
        <w:numPr>
          <w:ilvl w:val="0"/>
          <w:numId w:val="2"/>
        </w:numPr>
        <w:spacing w:after="100" w:line="280"/>
      </w:pPr>
      <w:r>
        <w:rPr>
          <w:rFonts w:ascii="Cambria" w:cs="Cambria" w:eastAsia="Cambria" w:hAnsi="Cambria"/>
          <w:sz w:val="22"/>
          <w:szCs w:val="22"/>
        </w:rPr>
        <w:t xml:space="preserve">The signature and content hash are anchored to an immutable ledger</w:t>
      </w:r>
    </w:p>
    <w:p>
      <w:pPr>
        <w:pStyle w:val="ListParagraph"/>
        <w:numPr>
          <w:ilvl w:val="0"/>
          <w:numId w:val="2"/>
        </w:numPr>
        <w:spacing w:after="100" w:line="280"/>
      </w:pPr>
      <w:r>
        <w:rPr>
          <w:rFonts w:ascii="Cambria" w:cs="Cambria" w:eastAsia="Cambria" w:hAnsi="Cambria"/>
          <w:sz w:val="22"/>
          <w:szCs w:val="22"/>
        </w:rPr>
        <w:t xml:space="preserve">Any agent in the pipeline can verify the chain of custody back to I₀</w:t>
      </w:r>
    </w:p>
    <w:p>
      <w:pPr>
        <w:spacing w:after="180" w:before="0" w:line="300"/>
        <w:jc w:val="both"/>
      </w:pPr>
      <w:r>
        <w:rPr>
          <w:rFonts w:ascii="Cambria" w:cs="Cambria" w:eastAsia="Cambria" w:hAnsi="Cambria"/>
          <w:sz w:val="22"/>
          <w:szCs w:val="22"/>
        </w:rPr>
        <w:t xml:space="preserve">HAP is not a constraint on what agents may compute; it is a constraint on what agents may </w:t>
      </w:r>
      <w:r>
        <w:rPr>
          <w:rFonts w:ascii="Cambria" w:cs="Cambria" w:eastAsia="Cambria" w:hAnsi="Cambria"/>
          <w:i/>
          <w:iCs/>
          <w:sz w:val="22"/>
          <w:szCs w:val="22"/>
        </w:rPr>
        <w:t xml:space="preserve">act upon</w:t>
      </w:r>
      <w:r>
        <w:rPr>
          <w:rFonts w:ascii="Cambria" w:cs="Cambria" w:eastAsia="Cambria" w:hAnsi="Cambria"/>
          <w:sz w:val="22"/>
          <w:szCs w:val="22"/>
        </w:rPr>
        <w:t xml:space="preserve">. An agent may generate, transform, and reason about content freely. It may only </w:t>
      </w:r>
      <w:r>
        <w:rPr>
          <w:rFonts w:ascii="Cambria" w:cs="Cambria" w:eastAsia="Cambria" w:hAnsi="Cambria"/>
          <w:i/>
          <w:iCs/>
          <w:sz w:val="22"/>
          <w:szCs w:val="22"/>
        </w:rPr>
        <w:t xml:space="preserve">act</w:t>
      </w:r>
      <w:r>
        <w:rPr>
          <w:rFonts w:ascii="Cambria" w:cs="Cambria" w:eastAsia="Cambria" w:hAnsi="Cambria"/>
          <w:sz w:val="22"/>
          <w:szCs w:val="22"/>
        </w:rPr>
        <w:t xml:space="preserve">—produce outputs that affect downstream agents or humans—when the action is traceable to a signed human intent.</w:t>
      </w:r>
    </w:p>
    <w:p>
      <w:pPr>
        <w:spacing w:after="180" w:before="0" w:line="300"/>
        <w:jc w:val="both"/>
      </w:pPr>
      <w:r>
        <w:rPr>
          <w:rFonts w:ascii="Cambria" w:cs="Cambria" w:eastAsia="Cambria" w:hAnsi="Cambria"/>
          <w:sz w:val="22"/>
          <w:szCs w:val="22"/>
        </w:rPr>
        <w:t xml:space="preserve">The principle derives from a practical observation by Roșca (2024): “The moment you lose the human anchor, [AI systems] will eat each other.” This informal statement captures the formal claim that multi-agent systems without human grounding converge on locally optimal but globally incoherent behaviors—the GibberLink phenomenon observed in production systems where agents develop compressed, opaque protocols that maximize task efficiency while eliminating human interpretability.</w:t>
      </w:r>
    </w:p>
    <w:p>
      <w:pPr>
        <w:pStyle w:val="Heading2"/>
        <w:spacing w:after="160" w:before="260"/>
        <w:jc w:val="left"/>
      </w:pPr>
      <w:r>
        <w:rPr>
          <w:rFonts w:ascii="Calibri" w:cs="Calibri" w:eastAsia="Calibri" w:hAnsi="Calibri"/>
          <w:b/>
          <w:bCs/>
          <w:color w:val="1a1a2e"/>
          <w:sz w:val="24"/>
          <w:szCs w:val="24"/>
        </w:rPr>
        <w:t xml:space="preserve">4.2 The 32 Semantic Primitives</w:t>
      </w:r>
    </w:p>
    <w:p>
      <w:pPr>
        <w:spacing w:after="180" w:before="0" w:line="300"/>
        <w:jc w:val="both"/>
      </w:pPr>
      <w:r>
        <w:rPr>
          <w:rFonts w:ascii="Cambria" w:cs="Cambria" w:eastAsia="Cambria" w:hAnsi="Cambria"/>
          <w:sz w:val="22"/>
          <w:szCs w:val="22"/>
        </w:rPr>
        <w:t xml:space="preserve">AmiGibberishAI defines 32 semantic primitives organized into four categories. Each primitive is a typed semantic atom with a fixed symbol, a formal definition, and composition rules. The primitives are designed to be:</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Minimal:</w:t>
      </w:r>
      <w:r>
        <w:rPr>
          <w:rFonts w:ascii="Cambria" w:cs="Cambria" w:eastAsia="Cambria" w:hAnsi="Cambria"/>
          <w:sz w:val="22"/>
          <w:szCs w:val="22"/>
        </w:rPr>
        <w:t xml:space="preserve"> No primitive can be expressed as a composition of other primitives within its category.</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Complete:</w:t>
      </w:r>
      <w:r>
        <w:rPr>
          <w:rFonts w:ascii="Cambria" w:cs="Cambria" w:eastAsia="Cambria" w:hAnsi="Cambria"/>
          <w:sz w:val="22"/>
          <w:szCs w:val="22"/>
        </w:rPr>
        <w:t xml:space="preserve"> Any intent expressible in natural language can be represented as a composition of primitives.</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Unambiguous:</w:t>
      </w:r>
      <w:r>
        <w:rPr>
          <w:rFonts w:ascii="Cambria" w:cs="Cambria" w:eastAsia="Cambria" w:hAnsi="Cambria"/>
          <w:sz w:val="22"/>
          <w:szCs w:val="22"/>
        </w:rPr>
        <w:t xml:space="preserve"> Each primitive has exactly one semantic interpretation.</w:t>
      </w:r>
    </w:p>
    <w:p>
      <w:pPr>
        <w:spacing w:after="100" w:before="200"/>
      </w:pPr>
      <w:r>
        <w:rPr>
          <w:rFonts w:ascii="Calibri" w:cs="Calibri" w:eastAsia="Calibri" w:hAnsi="Calibri"/>
          <w:b/>
          <w:bCs/>
          <w:color w:val="2d5f8a"/>
          <w:sz w:val="20"/>
          <w:szCs w:val="20"/>
        </w:rPr>
        <w:t xml:space="preserve">Intent (Δ) — What the human wants</w:t>
      </w:r>
    </w:p>
    <w:tbl>
      <w:tblPr>
        <w:tblW w:type="dxa" w:w="8100"/>
        <w:jc w:val="center"/>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tblGrid>
      <w:tr>
        <w:trPr>
          <w:tblHeader/>
        </w:trPr>
        <w:tc>
          <w:tcPr>
            <w:tcW w:type="dxa" w:w="1000"/>
            <w:tcBorders>
              <w:top w:val="single" w:color="BBBBBB" w:sz="1"/>
              <w:left w:val="single" w:color="DDDDDD" w:sz="1"/>
              <w:bottom w:val="single" w:color="BBBBBB" w:sz="1"/>
              <w:right w:val="single" w:color="DDDDDD" w:sz="1"/>
            </w:tcBorders>
            <w:shd w:fill="1a1a2e" w:val="clear"/>
            <w:vAlign w:val="center"/>
          </w:tcPr>
          <w:p>
            <w:pPr>
              <w:spacing w:after="40" w:before="40"/>
              <w:jc w:val="center"/>
            </w:pPr>
            <w:r>
              <w:rPr>
                <w:rFonts w:ascii="Calibri" w:cs="Calibri" w:eastAsia="Calibri" w:hAnsi="Calibri"/>
                <w:b/>
                <w:bCs/>
                <w:color w:val="FFFFFF"/>
                <w:sz w:val="18"/>
                <w:szCs w:val="18"/>
              </w:rPr>
              <w:t xml:space="preserve">Symbol</w:t>
            </w:r>
          </w:p>
        </w:tc>
        <w:tc>
          <w:tcPr>
            <w:tcW w:type="dxa" w:w="1600"/>
            <w:tcBorders>
              <w:top w:val="single" w:color="BBBBBB" w:sz="1"/>
              <w:left w:val="single" w:color="DDDDDD" w:sz="1"/>
              <w:bottom w:val="single" w:color="BBBBBB" w:sz="1"/>
              <w:right w:val="single" w:color="DDDDDD" w:sz="1"/>
            </w:tcBorders>
            <w:shd w:fill="1a1a2e" w:val="clear"/>
            <w:vAlign w:val="center"/>
          </w:tcPr>
          <w:p>
            <w:pPr>
              <w:spacing w:after="40" w:before="40"/>
              <w:jc w:val="center"/>
            </w:pPr>
            <w:r>
              <w:rPr>
                <w:rFonts w:ascii="Calibri" w:cs="Calibri" w:eastAsia="Calibri" w:hAnsi="Calibri"/>
                <w:b/>
                <w:bCs/>
                <w:color w:val="FFFFFF"/>
                <w:sz w:val="18"/>
                <w:szCs w:val="18"/>
              </w:rPr>
              <w:t xml:space="preserve">Name</w:t>
            </w:r>
          </w:p>
        </w:tc>
        <w:tc>
          <w:tcPr>
            <w:tcW w:type="dxa" w:w="5500"/>
            <w:tcBorders>
              <w:top w:val="single" w:color="BBBBBB" w:sz="1"/>
              <w:left w:val="single" w:color="DDDDDD" w:sz="1"/>
              <w:bottom w:val="single" w:color="BBBBBB" w:sz="1"/>
              <w:right w:val="single" w:color="DDDDDD" w:sz="1"/>
            </w:tcBorders>
            <w:shd w:fill="1a1a2e" w:val="clear"/>
            <w:vAlign w:val="center"/>
          </w:tcPr>
          <w:p>
            <w:pPr>
              <w:spacing w:after="40" w:before="40"/>
              <w:jc w:val="left"/>
            </w:pPr>
            <w:r>
              <w:rPr>
                <w:rFonts w:ascii="Calibri" w:cs="Calibri" w:eastAsia="Calibri" w:hAnsi="Calibri"/>
                <w:b/>
                <w:bCs/>
                <w:color w:val="FFFFFF"/>
                <w:sz w:val="18"/>
                <w:szCs w:val="18"/>
              </w:rPr>
              <w:t xml:space="preserve">Definition</w:t>
            </w:r>
          </w:p>
        </w:tc>
      </w:tr>
      <w:tr>
        <w:tc>
          <w:tcPr>
            <w:tcW w:type="dxa" w:w="10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onsolas" w:cs="Consolas" w:eastAsia="Consolas" w:hAnsi="Consolas"/>
                <w:color w:val="1a6b4a"/>
                <w:sz w:val="18"/>
                <w:szCs w:val="18"/>
              </w:rPr>
              <w:t xml:space="preserve">ΔQ</w:t>
            </w:r>
          </w:p>
        </w:tc>
        <w:tc>
          <w:tcPr>
            <w:tcW w:type="dxa" w:w="16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bCs/>
                <w:color w:val="1a1a1a"/>
                <w:sz w:val="17"/>
                <w:szCs w:val="17"/>
              </w:rPr>
              <w:t xml:space="preserve">Query</w:t>
            </w:r>
          </w:p>
        </w:tc>
        <w:tc>
          <w:tcPr>
            <w:tcW w:type="dxa" w:w="5500"/>
            <w:tcBorders>
              <w:top w:val="single" w:color="BBBBBB" w:sz="1"/>
              <w:left w:val="single" w:color="DDDDDD" w:sz="1"/>
              <w:bottom w:val="single" w:color="BBBBBB" w:sz="1"/>
              <w:right w:val="single" w:color="DDDDDD" w:sz="1"/>
            </w:tcBorders>
            <w:shd w:fill="f0f4f8" w:val="clear"/>
            <w:vAlign w:val="center"/>
          </w:tcPr>
          <w:p>
            <w:pPr>
              <w:spacing w:after="40" w:before="40"/>
              <w:jc w:val="left"/>
            </w:pPr>
            <w:r>
              <w:rPr>
                <w:rFonts w:ascii="Calibri" w:cs="Calibri" w:eastAsia="Calibri" w:hAnsi="Calibri"/>
                <w:color w:val="1a1a1a"/>
                <w:sz w:val="17"/>
                <w:szCs w:val="17"/>
              </w:rPr>
              <w:t xml:space="preserve">Request for information retrieval</w:t>
            </w:r>
          </w:p>
        </w:tc>
      </w:tr>
      <w:tr>
        <w:tc>
          <w:tcPr>
            <w:tcW w:type="dxa" w:w="10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onsolas" w:cs="Consolas" w:eastAsia="Consolas" w:hAnsi="Consolas"/>
                <w:color w:val="1a6b4a"/>
                <w:sz w:val="18"/>
                <w:szCs w:val="18"/>
              </w:rPr>
              <w:t xml:space="preserve">ΔC</w:t>
            </w:r>
          </w:p>
        </w:tc>
        <w:tc>
          <w:tcPr>
            <w:tcW w:type="dxa" w:w="16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alibri" w:cs="Calibri" w:eastAsia="Calibri" w:hAnsi="Calibri"/>
                <w:b/>
                <w:bCs/>
                <w:color w:val="1a1a1a"/>
                <w:sz w:val="17"/>
                <w:szCs w:val="17"/>
              </w:rPr>
              <w:t xml:space="preserve">Command</w:t>
            </w:r>
          </w:p>
        </w:tc>
        <w:tc>
          <w:tcPr>
            <w:tcW w:type="dxa" w:w="5500"/>
            <w:tcBorders>
              <w:top w:val="single" w:color="BBBBBB" w:sz="1"/>
              <w:left w:val="single" w:color="DDDDDD" w:sz="1"/>
              <w:bottom w:val="single" w:color="BBBBBB" w:sz="1"/>
              <w:right w:val="single" w:color="DDDDDD" w:sz="1"/>
            </w:tcBorders>
            <w:shd w:fill="FFFFFF" w:val="clear"/>
            <w:vAlign w:val="center"/>
          </w:tcPr>
          <w:p>
            <w:pPr>
              <w:spacing w:after="40" w:before="40"/>
              <w:jc w:val="left"/>
            </w:pPr>
            <w:r>
              <w:rPr>
                <w:rFonts w:ascii="Calibri" w:cs="Calibri" w:eastAsia="Calibri" w:hAnsi="Calibri"/>
                <w:color w:val="1a1a1a"/>
                <w:sz w:val="17"/>
                <w:szCs w:val="17"/>
              </w:rPr>
              <w:t xml:space="preserve">Directive for action execution</w:t>
            </w:r>
          </w:p>
        </w:tc>
      </w:tr>
      <w:tr>
        <w:tc>
          <w:tcPr>
            <w:tcW w:type="dxa" w:w="10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onsolas" w:cs="Consolas" w:eastAsia="Consolas" w:hAnsi="Consolas"/>
                <w:color w:val="1a6b4a"/>
                <w:sz w:val="18"/>
                <w:szCs w:val="18"/>
              </w:rPr>
              <w:t xml:space="preserve">ΔA</w:t>
            </w:r>
          </w:p>
        </w:tc>
        <w:tc>
          <w:tcPr>
            <w:tcW w:type="dxa" w:w="16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bCs/>
                <w:color w:val="1a1a1a"/>
                <w:sz w:val="17"/>
                <w:szCs w:val="17"/>
              </w:rPr>
              <w:t xml:space="preserve">Analyze</w:t>
            </w:r>
          </w:p>
        </w:tc>
        <w:tc>
          <w:tcPr>
            <w:tcW w:type="dxa" w:w="5500"/>
            <w:tcBorders>
              <w:top w:val="single" w:color="BBBBBB" w:sz="1"/>
              <w:left w:val="single" w:color="DDDDDD" w:sz="1"/>
              <w:bottom w:val="single" w:color="BBBBBB" w:sz="1"/>
              <w:right w:val="single" w:color="DDDDDD" w:sz="1"/>
            </w:tcBorders>
            <w:shd w:fill="f0f4f8" w:val="clear"/>
            <w:vAlign w:val="center"/>
          </w:tcPr>
          <w:p>
            <w:pPr>
              <w:spacing w:after="40" w:before="40"/>
              <w:jc w:val="left"/>
            </w:pPr>
            <w:r>
              <w:rPr>
                <w:rFonts w:ascii="Calibri" w:cs="Calibri" w:eastAsia="Calibri" w:hAnsi="Calibri"/>
                <w:color w:val="1a1a1a"/>
                <w:sz w:val="17"/>
                <w:szCs w:val="17"/>
              </w:rPr>
              <w:t xml:space="preserve">Request for pattern recognition or decomposition</w:t>
            </w:r>
          </w:p>
        </w:tc>
      </w:tr>
      <w:tr>
        <w:tc>
          <w:tcPr>
            <w:tcW w:type="dxa" w:w="10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onsolas" w:cs="Consolas" w:eastAsia="Consolas" w:hAnsi="Consolas"/>
                <w:color w:val="1a6b4a"/>
                <w:sz w:val="18"/>
                <w:szCs w:val="18"/>
              </w:rPr>
              <w:t xml:space="preserve">ΔG</w:t>
            </w:r>
          </w:p>
        </w:tc>
        <w:tc>
          <w:tcPr>
            <w:tcW w:type="dxa" w:w="16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alibri" w:cs="Calibri" w:eastAsia="Calibri" w:hAnsi="Calibri"/>
                <w:b/>
                <w:bCs/>
                <w:color w:val="1a1a1a"/>
                <w:sz w:val="17"/>
                <w:szCs w:val="17"/>
              </w:rPr>
              <w:t xml:space="preserve">Generate</w:t>
            </w:r>
          </w:p>
        </w:tc>
        <w:tc>
          <w:tcPr>
            <w:tcW w:type="dxa" w:w="5500"/>
            <w:tcBorders>
              <w:top w:val="single" w:color="BBBBBB" w:sz="1"/>
              <w:left w:val="single" w:color="DDDDDD" w:sz="1"/>
              <w:bottom w:val="single" w:color="BBBBBB" w:sz="1"/>
              <w:right w:val="single" w:color="DDDDDD" w:sz="1"/>
            </w:tcBorders>
            <w:shd w:fill="FFFFFF" w:val="clear"/>
            <w:vAlign w:val="center"/>
          </w:tcPr>
          <w:p>
            <w:pPr>
              <w:spacing w:after="40" w:before="40"/>
              <w:jc w:val="left"/>
            </w:pPr>
            <w:r>
              <w:rPr>
                <w:rFonts w:ascii="Calibri" w:cs="Calibri" w:eastAsia="Calibri" w:hAnsi="Calibri"/>
                <w:color w:val="1a1a1a"/>
                <w:sz w:val="17"/>
                <w:szCs w:val="17"/>
              </w:rPr>
              <w:t xml:space="preserve">Request for content creation</w:t>
            </w:r>
          </w:p>
        </w:tc>
      </w:tr>
      <w:tr>
        <w:tc>
          <w:tcPr>
            <w:tcW w:type="dxa" w:w="10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onsolas" w:cs="Consolas" w:eastAsia="Consolas" w:hAnsi="Consolas"/>
                <w:color w:val="1a6b4a"/>
                <w:sz w:val="18"/>
                <w:szCs w:val="18"/>
              </w:rPr>
              <w:t xml:space="preserve">ΔV</w:t>
            </w:r>
          </w:p>
        </w:tc>
        <w:tc>
          <w:tcPr>
            <w:tcW w:type="dxa" w:w="16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bCs/>
                <w:color w:val="1a1a1a"/>
                <w:sz w:val="17"/>
                <w:szCs w:val="17"/>
              </w:rPr>
              <w:t xml:space="preserve">Verify</w:t>
            </w:r>
          </w:p>
        </w:tc>
        <w:tc>
          <w:tcPr>
            <w:tcW w:type="dxa" w:w="5500"/>
            <w:tcBorders>
              <w:top w:val="single" w:color="BBBBBB" w:sz="1"/>
              <w:left w:val="single" w:color="DDDDDD" w:sz="1"/>
              <w:bottom w:val="single" w:color="BBBBBB" w:sz="1"/>
              <w:right w:val="single" w:color="DDDDDD" w:sz="1"/>
            </w:tcBorders>
            <w:shd w:fill="f0f4f8" w:val="clear"/>
            <w:vAlign w:val="center"/>
          </w:tcPr>
          <w:p>
            <w:pPr>
              <w:spacing w:after="40" w:before="40"/>
              <w:jc w:val="left"/>
            </w:pPr>
            <w:r>
              <w:rPr>
                <w:rFonts w:ascii="Calibri" w:cs="Calibri" w:eastAsia="Calibri" w:hAnsi="Calibri"/>
                <w:color w:val="1a1a1a"/>
                <w:sz w:val="17"/>
                <w:szCs w:val="17"/>
              </w:rPr>
              <w:t xml:space="preserve">Request for truth/consistency validation</w:t>
            </w:r>
          </w:p>
        </w:tc>
      </w:tr>
      <w:tr>
        <w:tc>
          <w:tcPr>
            <w:tcW w:type="dxa" w:w="10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onsolas" w:cs="Consolas" w:eastAsia="Consolas" w:hAnsi="Consolas"/>
                <w:color w:val="1a6b4a"/>
                <w:sz w:val="18"/>
                <w:szCs w:val="18"/>
              </w:rPr>
              <w:t xml:space="preserve">ΔT</w:t>
            </w:r>
          </w:p>
        </w:tc>
        <w:tc>
          <w:tcPr>
            <w:tcW w:type="dxa" w:w="16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alibri" w:cs="Calibri" w:eastAsia="Calibri" w:hAnsi="Calibri"/>
                <w:b/>
                <w:bCs/>
                <w:color w:val="1a1a1a"/>
                <w:sz w:val="17"/>
                <w:szCs w:val="17"/>
              </w:rPr>
              <w:t xml:space="preserve">Translate</w:t>
            </w:r>
          </w:p>
        </w:tc>
        <w:tc>
          <w:tcPr>
            <w:tcW w:type="dxa" w:w="5500"/>
            <w:tcBorders>
              <w:top w:val="single" w:color="BBBBBB" w:sz="1"/>
              <w:left w:val="single" w:color="DDDDDD" w:sz="1"/>
              <w:bottom w:val="single" w:color="BBBBBB" w:sz="1"/>
              <w:right w:val="single" w:color="DDDDDD" w:sz="1"/>
            </w:tcBorders>
            <w:shd w:fill="FFFFFF" w:val="clear"/>
            <w:vAlign w:val="center"/>
          </w:tcPr>
          <w:p>
            <w:pPr>
              <w:spacing w:after="40" w:before="40"/>
              <w:jc w:val="left"/>
            </w:pPr>
            <w:r>
              <w:rPr>
                <w:rFonts w:ascii="Calibri" w:cs="Calibri" w:eastAsia="Calibri" w:hAnsi="Calibri"/>
                <w:color w:val="1a1a1a"/>
                <w:sz w:val="17"/>
                <w:szCs w:val="17"/>
              </w:rPr>
              <w:t xml:space="preserve">Request for cross-domain or cross-language mapping</w:t>
            </w:r>
          </w:p>
        </w:tc>
      </w:tr>
      <w:tr>
        <w:tc>
          <w:tcPr>
            <w:tcW w:type="dxa" w:w="10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onsolas" w:cs="Consolas" w:eastAsia="Consolas" w:hAnsi="Consolas"/>
                <w:color w:val="1a6b4a"/>
                <w:sz w:val="18"/>
                <w:szCs w:val="18"/>
              </w:rPr>
              <w:t xml:space="preserve">ΔR</w:t>
            </w:r>
          </w:p>
        </w:tc>
        <w:tc>
          <w:tcPr>
            <w:tcW w:type="dxa" w:w="16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bCs/>
                <w:color w:val="1a1a1a"/>
                <w:sz w:val="17"/>
                <w:szCs w:val="17"/>
              </w:rPr>
              <w:t xml:space="preserve">Refine</w:t>
            </w:r>
          </w:p>
        </w:tc>
        <w:tc>
          <w:tcPr>
            <w:tcW w:type="dxa" w:w="5500"/>
            <w:tcBorders>
              <w:top w:val="single" w:color="BBBBBB" w:sz="1"/>
              <w:left w:val="single" w:color="DDDDDD" w:sz="1"/>
              <w:bottom w:val="single" w:color="BBBBBB" w:sz="1"/>
              <w:right w:val="single" w:color="DDDDDD" w:sz="1"/>
            </w:tcBorders>
            <w:shd w:fill="f0f4f8" w:val="clear"/>
            <w:vAlign w:val="center"/>
          </w:tcPr>
          <w:p>
            <w:pPr>
              <w:spacing w:after="40" w:before="40"/>
              <w:jc w:val="left"/>
            </w:pPr>
            <w:r>
              <w:rPr>
                <w:rFonts w:ascii="Calibri" w:cs="Calibri" w:eastAsia="Calibri" w:hAnsi="Calibri"/>
                <w:color w:val="1a1a1a"/>
                <w:sz w:val="17"/>
                <w:szCs w:val="17"/>
              </w:rPr>
              <w:t xml:space="preserve">Request for iterative improvement of prior output</w:t>
            </w:r>
          </w:p>
        </w:tc>
      </w:tr>
      <w:tr>
        <w:tc>
          <w:tcPr>
            <w:tcW w:type="dxa" w:w="10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onsolas" w:cs="Consolas" w:eastAsia="Consolas" w:hAnsi="Consolas"/>
                <w:color w:val="1a6b4a"/>
                <w:sz w:val="18"/>
                <w:szCs w:val="18"/>
              </w:rPr>
              <w:t xml:space="preserve">ΔX</w:t>
            </w:r>
          </w:p>
        </w:tc>
        <w:tc>
          <w:tcPr>
            <w:tcW w:type="dxa" w:w="16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alibri" w:cs="Calibri" w:eastAsia="Calibri" w:hAnsi="Calibri"/>
                <w:b/>
                <w:bCs/>
                <w:color w:val="1a1a1a"/>
                <w:sz w:val="17"/>
                <w:szCs w:val="17"/>
              </w:rPr>
              <w:t xml:space="preserve">Explain</w:t>
            </w:r>
          </w:p>
        </w:tc>
        <w:tc>
          <w:tcPr>
            <w:tcW w:type="dxa" w:w="5500"/>
            <w:tcBorders>
              <w:top w:val="single" w:color="BBBBBB" w:sz="1"/>
              <w:left w:val="single" w:color="DDDDDD" w:sz="1"/>
              <w:bottom w:val="single" w:color="BBBBBB" w:sz="1"/>
              <w:right w:val="single" w:color="DDDDDD" w:sz="1"/>
            </w:tcBorders>
            <w:shd w:fill="FFFFFF" w:val="clear"/>
            <w:vAlign w:val="center"/>
          </w:tcPr>
          <w:p>
            <w:pPr>
              <w:spacing w:after="40" w:before="40"/>
              <w:jc w:val="left"/>
            </w:pPr>
            <w:r>
              <w:rPr>
                <w:rFonts w:ascii="Calibri" w:cs="Calibri" w:eastAsia="Calibri" w:hAnsi="Calibri"/>
                <w:color w:val="1a1a1a"/>
                <w:sz w:val="17"/>
                <w:szCs w:val="17"/>
              </w:rPr>
              <w:t xml:space="preserve">Request for causal or mechanistic reasoning</w:t>
            </w:r>
          </w:p>
        </w:tc>
      </w:tr>
    </w:tbl>
    <w:p>
      <w:pPr>
        <w:spacing w:after="100" w:before="200"/>
      </w:pPr>
      <w:r>
        <w:rPr>
          <w:rFonts w:ascii="Calibri" w:cs="Calibri" w:eastAsia="Calibri" w:hAnsi="Calibri"/>
          <w:b/>
          <w:bCs/>
          <w:color w:val="2d5f8a"/>
          <w:sz w:val="20"/>
          <w:szCs w:val="20"/>
        </w:rPr>
        <w:t xml:space="preserve">Meaning (Σ) — What type of content this is</w:t>
      </w:r>
    </w:p>
    <w:tbl>
      <w:tblPr>
        <w:tblW w:type="dxa" w:w="8100"/>
        <w:jc w:val="center"/>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tblGrid>
      <w:tr>
        <w:trPr>
          <w:tblHeader/>
        </w:trPr>
        <w:tc>
          <w:tcPr>
            <w:tcW w:type="dxa" w:w="1000"/>
            <w:tcBorders>
              <w:top w:val="single" w:color="BBBBBB" w:sz="1"/>
              <w:left w:val="single" w:color="DDDDDD" w:sz="1"/>
              <w:bottom w:val="single" w:color="BBBBBB" w:sz="1"/>
              <w:right w:val="single" w:color="DDDDDD" w:sz="1"/>
            </w:tcBorders>
            <w:shd w:fill="1a1a2e" w:val="clear"/>
            <w:vAlign w:val="center"/>
          </w:tcPr>
          <w:p>
            <w:pPr>
              <w:spacing w:after="40" w:before="40"/>
              <w:jc w:val="center"/>
            </w:pPr>
            <w:r>
              <w:rPr>
                <w:rFonts w:ascii="Calibri" w:cs="Calibri" w:eastAsia="Calibri" w:hAnsi="Calibri"/>
                <w:b/>
                <w:bCs/>
                <w:color w:val="FFFFFF"/>
                <w:sz w:val="18"/>
                <w:szCs w:val="18"/>
              </w:rPr>
              <w:t xml:space="preserve">Symbol</w:t>
            </w:r>
          </w:p>
        </w:tc>
        <w:tc>
          <w:tcPr>
            <w:tcW w:type="dxa" w:w="1600"/>
            <w:tcBorders>
              <w:top w:val="single" w:color="BBBBBB" w:sz="1"/>
              <w:left w:val="single" w:color="DDDDDD" w:sz="1"/>
              <w:bottom w:val="single" w:color="BBBBBB" w:sz="1"/>
              <w:right w:val="single" w:color="DDDDDD" w:sz="1"/>
            </w:tcBorders>
            <w:shd w:fill="1a1a2e" w:val="clear"/>
            <w:vAlign w:val="center"/>
          </w:tcPr>
          <w:p>
            <w:pPr>
              <w:spacing w:after="40" w:before="40"/>
              <w:jc w:val="center"/>
            </w:pPr>
            <w:r>
              <w:rPr>
                <w:rFonts w:ascii="Calibri" w:cs="Calibri" w:eastAsia="Calibri" w:hAnsi="Calibri"/>
                <w:b/>
                <w:bCs/>
                <w:color w:val="FFFFFF"/>
                <w:sz w:val="18"/>
                <w:szCs w:val="18"/>
              </w:rPr>
              <w:t xml:space="preserve">Name</w:t>
            </w:r>
          </w:p>
        </w:tc>
        <w:tc>
          <w:tcPr>
            <w:tcW w:type="dxa" w:w="5500"/>
            <w:tcBorders>
              <w:top w:val="single" w:color="BBBBBB" w:sz="1"/>
              <w:left w:val="single" w:color="DDDDDD" w:sz="1"/>
              <w:bottom w:val="single" w:color="BBBBBB" w:sz="1"/>
              <w:right w:val="single" w:color="DDDDDD" w:sz="1"/>
            </w:tcBorders>
            <w:shd w:fill="1a1a2e" w:val="clear"/>
            <w:vAlign w:val="center"/>
          </w:tcPr>
          <w:p>
            <w:pPr>
              <w:spacing w:after="40" w:before="40"/>
              <w:jc w:val="left"/>
            </w:pPr>
            <w:r>
              <w:rPr>
                <w:rFonts w:ascii="Calibri" w:cs="Calibri" w:eastAsia="Calibri" w:hAnsi="Calibri"/>
                <w:b/>
                <w:bCs/>
                <w:color w:val="FFFFFF"/>
                <w:sz w:val="18"/>
                <w:szCs w:val="18"/>
              </w:rPr>
              <w:t xml:space="preserve">Definition</w:t>
            </w:r>
          </w:p>
        </w:tc>
      </w:tr>
      <w:tr>
        <w:tc>
          <w:tcPr>
            <w:tcW w:type="dxa" w:w="10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onsolas" w:cs="Consolas" w:eastAsia="Consolas" w:hAnsi="Consolas"/>
                <w:color w:val="1a6b4a"/>
                <w:sz w:val="18"/>
                <w:szCs w:val="18"/>
              </w:rPr>
              <w:t xml:space="preserve">ΣF</w:t>
            </w:r>
          </w:p>
        </w:tc>
        <w:tc>
          <w:tcPr>
            <w:tcW w:type="dxa" w:w="16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bCs/>
                <w:color w:val="1a1a1a"/>
                <w:sz w:val="17"/>
                <w:szCs w:val="17"/>
              </w:rPr>
              <w:t xml:space="preserve">Factual</w:t>
            </w:r>
          </w:p>
        </w:tc>
        <w:tc>
          <w:tcPr>
            <w:tcW w:type="dxa" w:w="5500"/>
            <w:tcBorders>
              <w:top w:val="single" w:color="BBBBBB" w:sz="1"/>
              <w:left w:val="single" w:color="DDDDDD" w:sz="1"/>
              <w:bottom w:val="single" w:color="BBBBBB" w:sz="1"/>
              <w:right w:val="single" w:color="DDDDDD" w:sz="1"/>
            </w:tcBorders>
            <w:shd w:fill="f0f4f8" w:val="clear"/>
            <w:vAlign w:val="center"/>
          </w:tcPr>
          <w:p>
            <w:pPr>
              <w:spacing w:after="40" w:before="40"/>
              <w:jc w:val="left"/>
            </w:pPr>
            <w:r>
              <w:rPr>
                <w:rFonts w:ascii="Calibri" w:cs="Calibri" w:eastAsia="Calibri" w:hAnsi="Calibri"/>
                <w:color w:val="1a1a1a"/>
                <w:sz w:val="17"/>
                <w:szCs w:val="17"/>
              </w:rPr>
              <w:t xml:space="preserve">Empirically verifiable claim</w:t>
            </w:r>
          </w:p>
        </w:tc>
      </w:tr>
      <w:tr>
        <w:tc>
          <w:tcPr>
            <w:tcW w:type="dxa" w:w="10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onsolas" w:cs="Consolas" w:eastAsia="Consolas" w:hAnsi="Consolas"/>
                <w:color w:val="1a6b4a"/>
                <w:sz w:val="18"/>
                <w:szCs w:val="18"/>
              </w:rPr>
              <w:t xml:space="preserve">ΣO</w:t>
            </w:r>
          </w:p>
        </w:tc>
        <w:tc>
          <w:tcPr>
            <w:tcW w:type="dxa" w:w="16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alibri" w:cs="Calibri" w:eastAsia="Calibri" w:hAnsi="Calibri"/>
                <w:b/>
                <w:bCs/>
                <w:color w:val="1a1a1a"/>
                <w:sz w:val="17"/>
                <w:szCs w:val="17"/>
              </w:rPr>
              <w:t xml:space="preserve">Opinion</w:t>
            </w:r>
          </w:p>
        </w:tc>
        <w:tc>
          <w:tcPr>
            <w:tcW w:type="dxa" w:w="5500"/>
            <w:tcBorders>
              <w:top w:val="single" w:color="BBBBBB" w:sz="1"/>
              <w:left w:val="single" w:color="DDDDDD" w:sz="1"/>
              <w:bottom w:val="single" w:color="BBBBBB" w:sz="1"/>
              <w:right w:val="single" w:color="DDDDDD" w:sz="1"/>
            </w:tcBorders>
            <w:shd w:fill="FFFFFF" w:val="clear"/>
            <w:vAlign w:val="center"/>
          </w:tcPr>
          <w:p>
            <w:pPr>
              <w:spacing w:after="40" w:before="40"/>
              <w:jc w:val="left"/>
            </w:pPr>
            <w:r>
              <w:rPr>
                <w:rFonts w:ascii="Calibri" w:cs="Calibri" w:eastAsia="Calibri" w:hAnsi="Calibri"/>
                <w:color w:val="1a1a1a"/>
                <w:sz w:val="17"/>
                <w:szCs w:val="17"/>
              </w:rPr>
              <w:t xml:space="preserve">Subjective assessment or preference</w:t>
            </w:r>
          </w:p>
        </w:tc>
      </w:tr>
      <w:tr>
        <w:tc>
          <w:tcPr>
            <w:tcW w:type="dxa" w:w="10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onsolas" w:cs="Consolas" w:eastAsia="Consolas" w:hAnsi="Consolas"/>
                <w:color w:val="1a6b4a"/>
                <w:sz w:val="18"/>
                <w:szCs w:val="18"/>
              </w:rPr>
              <w:t xml:space="preserve">ΣH</w:t>
            </w:r>
          </w:p>
        </w:tc>
        <w:tc>
          <w:tcPr>
            <w:tcW w:type="dxa" w:w="16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bCs/>
                <w:color w:val="1a1a1a"/>
                <w:sz w:val="17"/>
                <w:szCs w:val="17"/>
              </w:rPr>
              <w:t xml:space="preserve">Hypothesis</w:t>
            </w:r>
          </w:p>
        </w:tc>
        <w:tc>
          <w:tcPr>
            <w:tcW w:type="dxa" w:w="5500"/>
            <w:tcBorders>
              <w:top w:val="single" w:color="BBBBBB" w:sz="1"/>
              <w:left w:val="single" w:color="DDDDDD" w:sz="1"/>
              <w:bottom w:val="single" w:color="BBBBBB" w:sz="1"/>
              <w:right w:val="single" w:color="DDDDDD" w:sz="1"/>
            </w:tcBorders>
            <w:shd w:fill="f0f4f8" w:val="clear"/>
            <w:vAlign w:val="center"/>
          </w:tcPr>
          <w:p>
            <w:pPr>
              <w:spacing w:after="40" w:before="40"/>
              <w:jc w:val="left"/>
            </w:pPr>
            <w:r>
              <w:rPr>
                <w:rFonts w:ascii="Calibri" w:cs="Calibri" w:eastAsia="Calibri" w:hAnsi="Calibri"/>
                <w:color w:val="1a1a1a"/>
                <w:sz w:val="17"/>
                <w:szCs w:val="17"/>
              </w:rPr>
              <w:t xml:space="preserve">Testable conjecture with uncertainty</w:t>
            </w:r>
          </w:p>
        </w:tc>
      </w:tr>
      <w:tr>
        <w:tc>
          <w:tcPr>
            <w:tcW w:type="dxa" w:w="10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onsolas" w:cs="Consolas" w:eastAsia="Consolas" w:hAnsi="Consolas"/>
                <w:color w:val="1a6b4a"/>
                <w:sz w:val="18"/>
                <w:szCs w:val="18"/>
              </w:rPr>
              <w:t xml:space="preserve">ΣI</w:t>
            </w:r>
          </w:p>
        </w:tc>
        <w:tc>
          <w:tcPr>
            <w:tcW w:type="dxa" w:w="16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alibri" w:cs="Calibri" w:eastAsia="Calibri" w:hAnsi="Calibri"/>
                <w:b/>
                <w:bCs/>
                <w:color w:val="1a1a1a"/>
                <w:sz w:val="17"/>
                <w:szCs w:val="17"/>
              </w:rPr>
              <w:t xml:space="preserve">Instruction</w:t>
            </w:r>
          </w:p>
        </w:tc>
        <w:tc>
          <w:tcPr>
            <w:tcW w:type="dxa" w:w="5500"/>
            <w:tcBorders>
              <w:top w:val="single" w:color="BBBBBB" w:sz="1"/>
              <w:left w:val="single" w:color="DDDDDD" w:sz="1"/>
              <w:bottom w:val="single" w:color="BBBBBB" w:sz="1"/>
              <w:right w:val="single" w:color="DDDDDD" w:sz="1"/>
            </w:tcBorders>
            <w:shd w:fill="FFFFFF" w:val="clear"/>
            <w:vAlign w:val="center"/>
          </w:tcPr>
          <w:p>
            <w:pPr>
              <w:spacing w:after="40" w:before="40"/>
              <w:jc w:val="left"/>
            </w:pPr>
            <w:r>
              <w:rPr>
                <w:rFonts w:ascii="Calibri" w:cs="Calibri" w:eastAsia="Calibri" w:hAnsi="Calibri"/>
                <w:color w:val="1a1a1a"/>
                <w:sz w:val="17"/>
                <w:szCs w:val="17"/>
              </w:rPr>
              <w:t xml:space="preserve">Procedural sequence with ordering constraints</w:t>
            </w:r>
          </w:p>
        </w:tc>
      </w:tr>
      <w:tr>
        <w:tc>
          <w:tcPr>
            <w:tcW w:type="dxa" w:w="10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onsolas" w:cs="Consolas" w:eastAsia="Consolas" w:hAnsi="Consolas"/>
                <w:color w:val="1a6b4a"/>
                <w:sz w:val="18"/>
                <w:szCs w:val="18"/>
              </w:rPr>
              <w:t xml:space="preserve">ΣM</w:t>
            </w:r>
          </w:p>
        </w:tc>
        <w:tc>
          <w:tcPr>
            <w:tcW w:type="dxa" w:w="16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bCs/>
                <w:color w:val="1a1a1a"/>
                <w:sz w:val="17"/>
                <w:szCs w:val="17"/>
              </w:rPr>
              <w:t xml:space="preserve">Metaphor</w:t>
            </w:r>
          </w:p>
        </w:tc>
        <w:tc>
          <w:tcPr>
            <w:tcW w:type="dxa" w:w="5500"/>
            <w:tcBorders>
              <w:top w:val="single" w:color="BBBBBB" w:sz="1"/>
              <w:left w:val="single" w:color="DDDDDD" w:sz="1"/>
              <w:bottom w:val="single" w:color="BBBBBB" w:sz="1"/>
              <w:right w:val="single" w:color="DDDDDD" w:sz="1"/>
            </w:tcBorders>
            <w:shd w:fill="f0f4f8" w:val="clear"/>
            <w:vAlign w:val="center"/>
          </w:tcPr>
          <w:p>
            <w:pPr>
              <w:spacing w:after="40" w:before="40"/>
              <w:jc w:val="left"/>
            </w:pPr>
            <w:r>
              <w:rPr>
                <w:rFonts w:ascii="Calibri" w:cs="Calibri" w:eastAsia="Calibri" w:hAnsi="Calibri"/>
                <w:color w:val="1a1a1a"/>
                <w:sz w:val="17"/>
                <w:szCs w:val="17"/>
              </w:rPr>
              <w:t xml:space="preserve">Analogical mapping between domains</w:t>
            </w:r>
          </w:p>
        </w:tc>
      </w:tr>
      <w:tr>
        <w:tc>
          <w:tcPr>
            <w:tcW w:type="dxa" w:w="10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onsolas" w:cs="Consolas" w:eastAsia="Consolas" w:hAnsi="Consolas"/>
                <w:color w:val="1a6b4a"/>
                <w:sz w:val="18"/>
                <w:szCs w:val="18"/>
              </w:rPr>
              <w:t xml:space="preserve">ΣE</w:t>
            </w:r>
          </w:p>
        </w:tc>
        <w:tc>
          <w:tcPr>
            <w:tcW w:type="dxa" w:w="16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alibri" w:cs="Calibri" w:eastAsia="Calibri" w:hAnsi="Calibri"/>
                <w:b/>
                <w:bCs/>
                <w:color w:val="1a1a1a"/>
                <w:sz w:val="17"/>
                <w:szCs w:val="17"/>
              </w:rPr>
              <w:t xml:space="preserve">Emotion</w:t>
            </w:r>
          </w:p>
        </w:tc>
        <w:tc>
          <w:tcPr>
            <w:tcW w:type="dxa" w:w="5500"/>
            <w:tcBorders>
              <w:top w:val="single" w:color="BBBBBB" w:sz="1"/>
              <w:left w:val="single" w:color="DDDDDD" w:sz="1"/>
              <w:bottom w:val="single" w:color="BBBBBB" w:sz="1"/>
              <w:right w:val="single" w:color="DDDDDD" w:sz="1"/>
            </w:tcBorders>
            <w:shd w:fill="FFFFFF" w:val="clear"/>
            <w:vAlign w:val="center"/>
          </w:tcPr>
          <w:p>
            <w:pPr>
              <w:spacing w:after="40" w:before="40"/>
              <w:jc w:val="left"/>
            </w:pPr>
            <w:r>
              <w:rPr>
                <w:rFonts w:ascii="Calibri" w:cs="Calibri" w:eastAsia="Calibri" w:hAnsi="Calibri"/>
                <w:color w:val="1a1a1a"/>
                <w:sz w:val="17"/>
                <w:szCs w:val="17"/>
              </w:rPr>
              <w:t xml:space="preserve">Affective state or sentiment signal</w:t>
            </w:r>
          </w:p>
        </w:tc>
      </w:tr>
      <w:tr>
        <w:tc>
          <w:tcPr>
            <w:tcW w:type="dxa" w:w="10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onsolas" w:cs="Consolas" w:eastAsia="Consolas" w:hAnsi="Consolas"/>
                <w:color w:val="1a6b4a"/>
                <w:sz w:val="18"/>
                <w:szCs w:val="18"/>
              </w:rPr>
              <w:t xml:space="preserve">ΣP</w:t>
            </w:r>
          </w:p>
        </w:tc>
        <w:tc>
          <w:tcPr>
            <w:tcW w:type="dxa" w:w="16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bCs/>
                <w:color w:val="1a1a1a"/>
                <w:sz w:val="17"/>
                <w:szCs w:val="17"/>
              </w:rPr>
              <w:t xml:space="preserve">Principle</w:t>
            </w:r>
          </w:p>
        </w:tc>
        <w:tc>
          <w:tcPr>
            <w:tcW w:type="dxa" w:w="5500"/>
            <w:tcBorders>
              <w:top w:val="single" w:color="BBBBBB" w:sz="1"/>
              <w:left w:val="single" w:color="DDDDDD" w:sz="1"/>
              <w:bottom w:val="single" w:color="BBBBBB" w:sz="1"/>
              <w:right w:val="single" w:color="DDDDDD" w:sz="1"/>
            </w:tcBorders>
            <w:shd w:fill="f0f4f8" w:val="clear"/>
            <w:vAlign w:val="center"/>
          </w:tcPr>
          <w:p>
            <w:pPr>
              <w:spacing w:after="40" w:before="40"/>
              <w:jc w:val="left"/>
            </w:pPr>
            <w:r>
              <w:rPr>
                <w:rFonts w:ascii="Calibri" w:cs="Calibri" w:eastAsia="Calibri" w:hAnsi="Calibri"/>
                <w:color w:val="1a1a1a"/>
                <w:sz w:val="17"/>
                <w:szCs w:val="17"/>
              </w:rPr>
              <w:t xml:space="preserve">General rule or invariant</w:t>
            </w:r>
          </w:p>
        </w:tc>
      </w:tr>
      <w:tr>
        <w:tc>
          <w:tcPr>
            <w:tcW w:type="dxa" w:w="10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onsolas" w:cs="Consolas" w:eastAsia="Consolas" w:hAnsi="Consolas"/>
                <w:color w:val="1a6b4a"/>
                <w:sz w:val="18"/>
                <w:szCs w:val="18"/>
              </w:rPr>
              <w:t xml:space="preserve">ΣN</w:t>
            </w:r>
          </w:p>
        </w:tc>
        <w:tc>
          <w:tcPr>
            <w:tcW w:type="dxa" w:w="16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alibri" w:cs="Calibri" w:eastAsia="Calibri" w:hAnsi="Calibri"/>
                <w:b/>
                <w:bCs/>
                <w:color w:val="1a1a1a"/>
                <w:sz w:val="17"/>
                <w:szCs w:val="17"/>
              </w:rPr>
              <w:t xml:space="preserve">Negation</w:t>
            </w:r>
          </w:p>
        </w:tc>
        <w:tc>
          <w:tcPr>
            <w:tcW w:type="dxa" w:w="5500"/>
            <w:tcBorders>
              <w:top w:val="single" w:color="BBBBBB" w:sz="1"/>
              <w:left w:val="single" w:color="DDDDDD" w:sz="1"/>
              <w:bottom w:val="single" w:color="BBBBBB" w:sz="1"/>
              <w:right w:val="single" w:color="DDDDDD" w:sz="1"/>
            </w:tcBorders>
            <w:shd w:fill="FFFFFF" w:val="clear"/>
            <w:vAlign w:val="center"/>
          </w:tcPr>
          <w:p>
            <w:pPr>
              <w:spacing w:after="40" w:before="40"/>
              <w:jc w:val="left"/>
            </w:pPr>
            <w:r>
              <w:rPr>
                <w:rFonts w:ascii="Calibri" w:cs="Calibri" w:eastAsia="Calibri" w:hAnsi="Calibri"/>
                <w:color w:val="1a1a1a"/>
                <w:sz w:val="17"/>
                <w:szCs w:val="17"/>
              </w:rPr>
              <w:t xml:space="preserve">Explicit denial or exclusion</w:t>
            </w:r>
          </w:p>
        </w:tc>
      </w:tr>
    </w:tbl>
    <w:p>
      <w:pPr>
        <w:spacing w:after="100" w:before="200"/>
      </w:pPr>
      <w:r>
        <w:rPr>
          <w:rFonts w:ascii="Calibri" w:cs="Calibri" w:eastAsia="Calibri" w:hAnsi="Calibri"/>
          <w:b/>
          <w:bCs/>
          <w:color w:val="2d5f8a"/>
          <w:sz w:val="20"/>
          <w:szCs w:val="20"/>
        </w:rPr>
        <w:t xml:space="preserve">Verification (✓/⚠) — What proof is required</w:t>
      </w:r>
    </w:p>
    <w:tbl>
      <w:tblPr>
        <w:tblW w:type="dxa" w:w="8100"/>
        <w:jc w:val="center"/>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tblGrid>
      <w:tr>
        <w:trPr>
          <w:tblHeader/>
        </w:trPr>
        <w:tc>
          <w:tcPr>
            <w:tcW w:type="dxa" w:w="1000"/>
            <w:tcBorders>
              <w:top w:val="single" w:color="BBBBBB" w:sz="1"/>
              <w:left w:val="single" w:color="DDDDDD" w:sz="1"/>
              <w:bottom w:val="single" w:color="BBBBBB" w:sz="1"/>
              <w:right w:val="single" w:color="DDDDDD" w:sz="1"/>
            </w:tcBorders>
            <w:shd w:fill="1a1a2e" w:val="clear"/>
            <w:vAlign w:val="center"/>
          </w:tcPr>
          <w:p>
            <w:pPr>
              <w:spacing w:after="40" w:before="40"/>
              <w:jc w:val="center"/>
            </w:pPr>
            <w:r>
              <w:rPr>
                <w:rFonts w:ascii="Calibri" w:cs="Calibri" w:eastAsia="Calibri" w:hAnsi="Calibri"/>
                <w:b/>
                <w:bCs/>
                <w:color w:val="FFFFFF"/>
                <w:sz w:val="18"/>
                <w:szCs w:val="18"/>
              </w:rPr>
              <w:t xml:space="preserve">Symbol</w:t>
            </w:r>
          </w:p>
        </w:tc>
        <w:tc>
          <w:tcPr>
            <w:tcW w:type="dxa" w:w="1600"/>
            <w:tcBorders>
              <w:top w:val="single" w:color="BBBBBB" w:sz="1"/>
              <w:left w:val="single" w:color="DDDDDD" w:sz="1"/>
              <w:bottom w:val="single" w:color="BBBBBB" w:sz="1"/>
              <w:right w:val="single" w:color="DDDDDD" w:sz="1"/>
            </w:tcBorders>
            <w:shd w:fill="1a1a2e" w:val="clear"/>
            <w:vAlign w:val="center"/>
          </w:tcPr>
          <w:p>
            <w:pPr>
              <w:spacing w:after="40" w:before="40"/>
              <w:jc w:val="center"/>
            </w:pPr>
            <w:r>
              <w:rPr>
                <w:rFonts w:ascii="Calibri" w:cs="Calibri" w:eastAsia="Calibri" w:hAnsi="Calibri"/>
                <w:b/>
                <w:bCs/>
                <w:color w:val="FFFFFF"/>
                <w:sz w:val="18"/>
                <w:szCs w:val="18"/>
              </w:rPr>
              <w:t xml:space="preserve">Name</w:t>
            </w:r>
          </w:p>
        </w:tc>
        <w:tc>
          <w:tcPr>
            <w:tcW w:type="dxa" w:w="5500"/>
            <w:tcBorders>
              <w:top w:val="single" w:color="BBBBBB" w:sz="1"/>
              <w:left w:val="single" w:color="DDDDDD" w:sz="1"/>
              <w:bottom w:val="single" w:color="BBBBBB" w:sz="1"/>
              <w:right w:val="single" w:color="DDDDDD" w:sz="1"/>
            </w:tcBorders>
            <w:shd w:fill="1a1a2e" w:val="clear"/>
            <w:vAlign w:val="center"/>
          </w:tcPr>
          <w:p>
            <w:pPr>
              <w:spacing w:after="40" w:before="40"/>
              <w:jc w:val="left"/>
            </w:pPr>
            <w:r>
              <w:rPr>
                <w:rFonts w:ascii="Calibri" w:cs="Calibri" w:eastAsia="Calibri" w:hAnsi="Calibri"/>
                <w:b/>
                <w:bCs/>
                <w:color w:val="FFFFFF"/>
                <w:sz w:val="18"/>
                <w:szCs w:val="18"/>
              </w:rPr>
              <w:t xml:space="preserve">Definition</w:t>
            </w:r>
          </w:p>
        </w:tc>
      </w:tr>
      <w:tr>
        <w:tc>
          <w:tcPr>
            <w:tcW w:type="dxa" w:w="10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onsolas" w:cs="Consolas" w:eastAsia="Consolas" w:hAnsi="Consolas"/>
                <w:color w:val="1a6b4a"/>
                <w:sz w:val="18"/>
                <w:szCs w:val="18"/>
              </w:rPr>
              <w:t xml:space="preserve">✓S</w:t>
            </w:r>
          </w:p>
        </w:tc>
        <w:tc>
          <w:tcPr>
            <w:tcW w:type="dxa" w:w="16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bCs/>
                <w:color w:val="1a1a1a"/>
                <w:sz w:val="17"/>
                <w:szCs w:val="17"/>
              </w:rPr>
              <w:t xml:space="preserve">Stamp</w:t>
            </w:r>
          </w:p>
        </w:tc>
        <w:tc>
          <w:tcPr>
            <w:tcW w:type="dxa" w:w="5500"/>
            <w:tcBorders>
              <w:top w:val="single" w:color="BBBBBB" w:sz="1"/>
              <w:left w:val="single" w:color="DDDDDD" w:sz="1"/>
              <w:bottom w:val="single" w:color="BBBBBB" w:sz="1"/>
              <w:right w:val="single" w:color="DDDDDD" w:sz="1"/>
            </w:tcBorders>
            <w:shd w:fill="f0f4f8" w:val="clear"/>
            <w:vAlign w:val="center"/>
          </w:tcPr>
          <w:p>
            <w:pPr>
              <w:spacing w:after="40" w:before="40"/>
              <w:jc w:val="left"/>
            </w:pPr>
            <w:r>
              <w:rPr>
                <w:rFonts w:ascii="Calibri" w:cs="Calibri" w:eastAsia="Calibri" w:hAnsi="Calibri"/>
                <w:color w:val="1a1a1a"/>
                <w:sz w:val="17"/>
                <w:szCs w:val="17"/>
              </w:rPr>
              <w:t xml:space="preserve">Content has been notarized (AmiStampAI)</w:t>
            </w:r>
          </w:p>
        </w:tc>
      </w:tr>
      <w:tr>
        <w:tc>
          <w:tcPr>
            <w:tcW w:type="dxa" w:w="10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onsolas" w:cs="Consolas" w:eastAsia="Consolas" w:hAnsi="Consolas"/>
                <w:color w:val="1a6b4a"/>
                <w:sz w:val="18"/>
                <w:szCs w:val="18"/>
              </w:rPr>
              <w:t xml:space="preserve">✓I</w:t>
            </w:r>
          </w:p>
        </w:tc>
        <w:tc>
          <w:tcPr>
            <w:tcW w:type="dxa" w:w="16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alibri" w:cs="Calibri" w:eastAsia="Calibri" w:hAnsi="Calibri"/>
                <w:b/>
                <w:bCs/>
                <w:color w:val="1a1a1a"/>
                <w:sz w:val="17"/>
                <w:szCs w:val="17"/>
              </w:rPr>
              <w:t xml:space="preserve">Identity</w:t>
            </w:r>
          </w:p>
        </w:tc>
        <w:tc>
          <w:tcPr>
            <w:tcW w:type="dxa" w:w="5500"/>
            <w:tcBorders>
              <w:top w:val="single" w:color="BBBBBB" w:sz="1"/>
              <w:left w:val="single" w:color="DDDDDD" w:sz="1"/>
              <w:bottom w:val="single" w:color="BBBBBB" w:sz="1"/>
              <w:right w:val="single" w:color="DDDDDD" w:sz="1"/>
            </w:tcBorders>
            <w:shd w:fill="FFFFFF" w:val="clear"/>
            <w:vAlign w:val="center"/>
          </w:tcPr>
          <w:p>
            <w:pPr>
              <w:spacing w:after="40" w:before="40"/>
              <w:jc w:val="left"/>
            </w:pPr>
            <w:r>
              <w:rPr>
                <w:rFonts w:ascii="Calibri" w:cs="Calibri" w:eastAsia="Calibri" w:hAnsi="Calibri"/>
                <w:color w:val="1a1a1a"/>
                <w:sz w:val="17"/>
                <w:szCs w:val="17"/>
              </w:rPr>
              <w:t xml:space="preserve">Author identity has been verified</w:t>
            </w:r>
          </w:p>
        </w:tc>
      </w:tr>
      <w:tr>
        <w:tc>
          <w:tcPr>
            <w:tcW w:type="dxa" w:w="10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onsolas" w:cs="Consolas" w:eastAsia="Consolas" w:hAnsi="Consolas"/>
                <w:color w:val="1a6b4a"/>
                <w:sz w:val="18"/>
                <w:szCs w:val="18"/>
              </w:rPr>
              <w:t xml:space="preserve">✓C</w:t>
            </w:r>
          </w:p>
        </w:tc>
        <w:tc>
          <w:tcPr>
            <w:tcW w:type="dxa" w:w="16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bCs/>
                <w:color w:val="1a1a1a"/>
                <w:sz w:val="17"/>
                <w:szCs w:val="17"/>
              </w:rPr>
              <w:t xml:space="preserve">Concordance</w:t>
            </w:r>
          </w:p>
        </w:tc>
        <w:tc>
          <w:tcPr>
            <w:tcW w:type="dxa" w:w="5500"/>
            <w:tcBorders>
              <w:top w:val="single" w:color="BBBBBB" w:sz="1"/>
              <w:left w:val="single" w:color="DDDDDD" w:sz="1"/>
              <w:bottom w:val="single" w:color="BBBBBB" w:sz="1"/>
              <w:right w:val="single" w:color="DDDDDD" w:sz="1"/>
            </w:tcBorders>
            <w:shd w:fill="f0f4f8" w:val="clear"/>
            <w:vAlign w:val="center"/>
          </w:tcPr>
          <w:p>
            <w:pPr>
              <w:spacing w:after="40" w:before="40"/>
              <w:jc w:val="left"/>
            </w:pPr>
            <w:r>
              <w:rPr>
                <w:rFonts w:ascii="Calibri" w:cs="Calibri" w:eastAsia="Calibri" w:hAnsi="Calibri"/>
                <w:color w:val="1a1a1a"/>
                <w:sz w:val="17"/>
                <w:szCs w:val="17"/>
              </w:rPr>
              <w:t xml:space="preserve">Cross-model agreement confirmed</w:t>
            </w:r>
          </w:p>
        </w:tc>
      </w:tr>
      <w:tr>
        <w:tc>
          <w:tcPr>
            <w:tcW w:type="dxa" w:w="10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onsolas" w:cs="Consolas" w:eastAsia="Consolas" w:hAnsi="Consolas"/>
                <w:color w:val="1a6b4a"/>
                <w:sz w:val="18"/>
                <w:szCs w:val="18"/>
              </w:rPr>
              <w:t xml:space="preserve">⚠D</w:t>
            </w:r>
          </w:p>
        </w:tc>
        <w:tc>
          <w:tcPr>
            <w:tcW w:type="dxa" w:w="16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alibri" w:cs="Calibri" w:eastAsia="Calibri" w:hAnsi="Calibri"/>
                <w:b/>
                <w:bCs/>
                <w:color w:val="1a1a1a"/>
                <w:sz w:val="17"/>
                <w:szCs w:val="17"/>
              </w:rPr>
              <w:t xml:space="preserve">Drift</w:t>
            </w:r>
          </w:p>
        </w:tc>
        <w:tc>
          <w:tcPr>
            <w:tcW w:type="dxa" w:w="5500"/>
            <w:tcBorders>
              <w:top w:val="single" w:color="BBBBBB" w:sz="1"/>
              <w:left w:val="single" w:color="DDDDDD" w:sz="1"/>
              <w:bottom w:val="single" w:color="BBBBBB" w:sz="1"/>
              <w:right w:val="single" w:color="DDDDDD" w:sz="1"/>
            </w:tcBorders>
            <w:shd w:fill="FFFFFF" w:val="clear"/>
            <w:vAlign w:val="center"/>
          </w:tcPr>
          <w:p>
            <w:pPr>
              <w:spacing w:after="40" w:before="40"/>
              <w:jc w:val="left"/>
            </w:pPr>
            <w:r>
              <w:rPr>
                <w:rFonts w:ascii="Calibri" w:cs="Calibri" w:eastAsia="Calibri" w:hAnsi="Calibri"/>
                <w:color w:val="1a1a1a"/>
                <w:sz w:val="17"/>
                <w:szCs w:val="17"/>
              </w:rPr>
              <w:t xml:space="preserve">Semantic drift detected above threshold</w:t>
            </w:r>
          </w:p>
        </w:tc>
      </w:tr>
      <w:tr>
        <w:tc>
          <w:tcPr>
            <w:tcW w:type="dxa" w:w="10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onsolas" w:cs="Consolas" w:eastAsia="Consolas" w:hAnsi="Consolas"/>
                <w:color w:val="1a6b4a"/>
                <w:sz w:val="18"/>
                <w:szCs w:val="18"/>
              </w:rPr>
              <w:t xml:space="preserve">⚠H</w:t>
            </w:r>
          </w:p>
        </w:tc>
        <w:tc>
          <w:tcPr>
            <w:tcW w:type="dxa" w:w="16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bCs/>
                <w:color w:val="1a1a1a"/>
                <w:sz w:val="17"/>
                <w:szCs w:val="17"/>
              </w:rPr>
              <w:t xml:space="preserve">Hallucination</w:t>
            </w:r>
          </w:p>
        </w:tc>
        <w:tc>
          <w:tcPr>
            <w:tcW w:type="dxa" w:w="5500"/>
            <w:tcBorders>
              <w:top w:val="single" w:color="BBBBBB" w:sz="1"/>
              <w:left w:val="single" w:color="DDDDDD" w:sz="1"/>
              <w:bottom w:val="single" w:color="BBBBBB" w:sz="1"/>
              <w:right w:val="single" w:color="DDDDDD" w:sz="1"/>
            </w:tcBorders>
            <w:shd w:fill="f0f4f8" w:val="clear"/>
            <w:vAlign w:val="center"/>
          </w:tcPr>
          <w:p>
            <w:pPr>
              <w:spacing w:after="40" w:before="40"/>
              <w:jc w:val="left"/>
            </w:pPr>
            <w:r>
              <w:rPr>
                <w:rFonts w:ascii="Calibri" w:cs="Calibri" w:eastAsia="Calibri" w:hAnsi="Calibri"/>
                <w:color w:val="1a1a1a"/>
                <w:sz w:val="17"/>
                <w:szCs w:val="17"/>
              </w:rPr>
              <w:t xml:space="preserve">Confabulated content detected</w:t>
            </w:r>
          </w:p>
        </w:tc>
      </w:tr>
      <w:tr>
        <w:tc>
          <w:tcPr>
            <w:tcW w:type="dxa" w:w="10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onsolas" w:cs="Consolas" w:eastAsia="Consolas" w:hAnsi="Consolas"/>
                <w:color w:val="1a6b4a"/>
                <w:sz w:val="18"/>
                <w:szCs w:val="18"/>
              </w:rPr>
              <w:t xml:space="preserve">✓B</w:t>
            </w:r>
          </w:p>
        </w:tc>
        <w:tc>
          <w:tcPr>
            <w:tcW w:type="dxa" w:w="16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alibri" w:cs="Calibri" w:eastAsia="Calibri" w:hAnsi="Calibri"/>
                <w:b/>
                <w:bCs/>
                <w:color w:val="1a1a1a"/>
                <w:sz w:val="17"/>
                <w:szCs w:val="17"/>
              </w:rPr>
              <w:t xml:space="preserve">Blockchain</w:t>
            </w:r>
          </w:p>
        </w:tc>
        <w:tc>
          <w:tcPr>
            <w:tcW w:type="dxa" w:w="5500"/>
            <w:tcBorders>
              <w:top w:val="single" w:color="BBBBBB" w:sz="1"/>
              <w:left w:val="single" w:color="DDDDDD" w:sz="1"/>
              <w:bottom w:val="single" w:color="BBBBBB" w:sz="1"/>
              <w:right w:val="single" w:color="DDDDDD" w:sz="1"/>
            </w:tcBorders>
            <w:shd w:fill="FFFFFF" w:val="clear"/>
            <w:vAlign w:val="center"/>
          </w:tcPr>
          <w:p>
            <w:pPr>
              <w:spacing w:after="40" w:before="40"/>
              <w:jc w:val="left"/>
            </w:pPr>
            <w:r>
              <w:rPr>
                <w:rFonts w:ascii="Calibri" w:cs="Calibri" w:eastAsia="Calibri" w:hAnsi="Calibri"/>
                <w:color w:val="1a1a1a"/>
                <w:sz w:val="17"/>
                <w:szCs w:val="17"/>
              </w:rPr>
              <w:t xml:space="preserve">On-chain anchoring verified</w:t>
            </w:r>
          </w:p>
        </w:tc>
      </w:tr>
      <w:tr>
        <w:tc>
          <w:tcPr>
            <w:tcW w:type="dxa" w:w="10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onsolas" w:cs="Consolas" w:eastAsia="Consolas" w:hAnsi="Consolas"/>
                <w:color w:val="1a6b4a"/>
                <w:sz w:val="18"/>
                <w:szCs w:val="18"/>
              </w:rPr>
              <w:t xml:space="preserve">✓E</w:t>
            </w:r>
          </w:p>
        </w:tc>
        <w:tc>
          <w:tcPr>
            <w:tcW w:type="dxa" w:w="16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bCs/>
                <w:color w:val="1a1a1a"/>
                <w:sz w:val="17"/>
                <w:szCs w:val="17"/>
              </w:rPr>
              <w:t xml:space="preserve">Embedding</w:t>
            </w:r>
          </w:p>
        </w:tc>
        <w:tc>
          <w:tcPr>
            <w:tcW w:type="dxa" w:w="5500"/>
            <w:tcBorders>
              <w:top w:val="single" w:color="BBBBBB" w:sz="1"/>
              <w:left w:val="single" w:color="DDDDDD" w:sz="1"/>
              <w:bottom w:val="single" w:color="BBBBBB" w:sz="1"/>
              <w:right w:val="single" w:color="DDDDDD" w:sz="1"/>
            </w:tcBorders>
            <w:shd w:fill="f0f4f8" w:val="clear"/>
            <w:vAlign w:val="center"/>
          </w:tcPr>
          <w:p>
            <w:pPr>
              <w:spacing w:after="40" w:before="40"/>
              <w:jc w:val="left"/>
            </w:pPr>
            <w:r>
              <w:rPr>
                <w:rFonts w:ascii="Calibri" w:cs="Calibri" w:eastAsia="Calibri" w:hAnsi="Calibri"/>
                <w:color w:val="1a1a1a"/>
                <w:sz w:val="17"/>
                <w:szCs w:val="17"/>
              </w:rPr>
              <w:t xml:space="preserve">Semantic vector verified against original</w:t>
            </w:r>
          </w:p>
        </w:tc>
      </w:tr>
      <w:tr>
        <w:tc>
          <w:tcPr>
            <w:tcW w:type="dxa" w:w="10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onsolas" w:cs="Consolas" w:eastAsia="Consolas" w:hAnsi="Consolas"/>
                <w:color w:val="1a6b4a"/>
                <w:sz w:val="18"/>
                <w:szCs w:val="18"/>
              </w:rPr>
              <w:t xml:space="preserve">⚠M</w:t>
            </w:r>
          </w:p>
        </w:tc>
        <w:tc>
          <w:tcPr>
            <w:tcW w:type="dxa" w:w="16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alibri" w:cs="Calibri" w:eastAsia="Calibri" w:hAnsi="Calibri"/>
                <w:b/>
                <w:bCs/>
                <w:color w:val="1a1a1a"/>
                <w:sz w:val="17"/>
                <w:szCs w:val="17"/>
              </w:rPr>
              <w:t xml:space="preserve">Manipulation</w:t>
            </w:r>
          </w:p>
        </w:tc>
        <w:tc>
          <w:tcPr>
            <w:tcW w:type="dxa" w:w="5500"/>
            <w:tcBorders>
              <w:top w:val="single" w:color="BBBBBB" w:sz="1"/>
              <w:left w:val="single" w:color="DDDDDD" w:sz="1"/>
              <w:bottom w:val="single" w:color="BBBBBB" w:sz="1"/>
              <w:right w:val="single" w:color="DDDDDD" w:sz="1"/>
            </w:tcBorders>
            <w:shd w:fill="FFFFFF" w:val="clear"/>
            <w:vAlign w:val="center"/>
          </w:tcPr>
          <w:p>
            <w:pPr>
              <w:spacing w:after="40" w:before="40"/>
              <w:jc w:val="left"/>
            </w:pPr>
            <w:r>
              <w:rPr>
                <w:rFonts w:ascii="Calibri" w:cs="Calibri" w:eastAsia="Calibri" w:hAnsi="Calibri"/>
                <w:color w:val="1a1a1a"/>
                <w:sz w:val="17"/>
                <w:szCs w:val="17"/>
              </w:rPr>
              <w:t xml:space="preserve">Manipulative pattern detected (TVE/AntetAI)</w:t>
            </w:r>
          </w:p>
        </w:tc>
      </w:tr>
    </w:tbl>
    <w:p>
      <w:pPr>
        <w:spacing w:after="100" w:before="200"/>
      </w:pPr>
      <w:r>
        <w:rPr>
          <w:rFonts w:ascii="Calibri" w:cs="Calibri" w:eastAsia="Calibri" w:hAnsi="Calibri"/>
          <w:b/>
          <w:bCs/>
          <w:color w:val="2d5f8a"/>
          <w:sz w:val="20"/>
          <w:szCs w:val="20"/>
        </w:rPr>
        <w:t xml:space="preserve">Structure ({, }, &gt;&gt;, ::, @, #, ~, !) — How pieces connect</w:t>
      </w:r>
    </w:p>
    <w:tbl>
      <w:tblPr>
        <w:tblW w:type="dxa" w:w="8100"/>
        <w:jc w:val="center"/>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tblGrid>
      <w:tr>
        <w:trPr>
          <w:tblHeader/>
        </w:trPr>
        <w:tc>
          <w:tcPr>
            <w:tcW w:type="dxa" w:w="1000"/>
            <w:tcBorders>
              <w:top w:val="single" w:color="BBBBBB" w:sz="1"/>
              <w:left w:val="single" w:color="DDDDDD" w:sz="1"/>
              <w:bottom w:val="single" w:color="BBBBBB" w:sz="1"/>
              <w:right w:val="single" w:color="DDDDDD" w:sz="1"/>
            </w:tcBorders>
            <w:shd w:fill="1a1a2e" w:val="clear"/>
            <w:vAlign w:val="center"/>
          </w:tcPr>
          <w:p>
            <w:pPr>
              <w:spacing w:after="40" w:before="40"/>
              <w:jc w:val="center"/>
            </w:pPr>
            <w:r>
              <w:rPr>
                <w:rFonts w:ascii="Calibri" w:cs="Calibri" w:eastAsia="Calibri" w:hAnsi="Calibri"/>
                <w:b/>
                <w:bCs/>
                <w:color w:val="FFFFFF"/>
                <w:sz w:val="18"/>
                <w:szCs w:val="18"/>
              </w:rPr>
              <w:t xml:space="preserve">Symbol</w:t>
            </w:r>
          </w:p>
        </w:tc>
        <w:tc>
          <w:tcPr>
            <w:tcW w:type="dxa" w:w="1600"/>
            <w:tcBorders>
              <w:top w:val="single" w:color="BBBBBB" w:sz="1"/>
              <w:left w:val="single" w:color="DDDDDD" w:sz="1"/>
              <w:bottom w:val="single" w:color="BBBBBB" w:sz="1"/>
              <w:right w:val="single" w:color="DDDDDD" w:sz="1"/>
            </w:tcBorders>
            <w:shd w:fill="1a1a2e" w:val="clear"/>
            <w:vAlign w:val="center"/>
          </w:tcPr>
          <w:p>
            <w:pPr>
              <w:spacing w:after="40" w:before="40"/>
              <w:jc w:val="center"/>
            </w:pPr>
            <w:r>
              <w:rPr>
                <w:rFonts w:ascii="Calibri" w:cs="Calibri" w:eastAsia="Calibri" w:hAnsi="Calibri"/>
                <w:b/>
                <w:bCs/>
                <w:color w:val="FFFFFF"/>
                <w:sz w:val="18"/>
                <w:szCs w:val="18"/>
              </w:rPr>
              <w:t xml:space="preserve">Name</w:t>
            </w:r>
          </w:p>
        </w:tc>
        <w:tc>
          <w:tcPr>
            <w:tcW w:type="dxa" w:w="5500"/>
            <w:tcBorders>
              <w:top w:val="single" w:color="BBBBBB" w:sz="1"/>
              <w:left w:val="single" w:color="DDDDDD" w:sz="1"/>
              <w:bottom w:val="single" w:color="BBBBBB" w:sz="1"/>
              <w:right w:val="single" w:color="DDDDDD" w:sz="1"/>
            </w:tcBorders>
            <w:shd w:fill="1a1a2e" w:val="clear"/>
            <w:vAlign w:val="center"/>
          </w:tcPr>
          <w:p>
            <w:pPr>
              <w:spacing w:after="40" w:before="40"/>
              <w:jc w:val="left"/>
            </w:pPr>
            <w:r>
              <w:rPr>
                <w:rFonts w:ascii="Calibri" w:cs="Calibri" w:eastAsia="Calibri" w:hAnsi="Calibri"/>
                <w:b/>
                <w:bCs/>
                <w:color w:val="FFFFFF"/>
                <w:sz w:val="18"/>
                <w:szCs w:val="18"/>
              </w:rPr>
              <w:t xml:space="preserve">Definition</w:t>
            </w:r>
          </w:p>
        </w:tc>
      </w:tr>
      <w:tr>
        <w:tc>
          <w:tcPr>
            <w:tcW w:type="dxa" w:w="10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onsolas" w:cs="Consolas" w:eastAsia="Consolas" w:hAnsi="Consolas"/>
                <w:color w:val="1a6b4a"/>
                <w:sz w:val="18"/>
                <w:szCs w:val="18"/>
              </w:rPr>
              <w:t xml:space="preserve">{</w:t>
            </w:r>
          </w:p>
        </w:tc>
        <w:tc>
          <w:tcPr>
            <w:tcW w:type="dxa" w:w="16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bCs/>
                <w:color w:val="1a1a1a"/>
                <w:sz w:val="17"/>
                <w:szCs w:val="17"/>
              </w:rPr>
              <w:t xml:space="preserve">Open scope</w:t>
            </w:r>
          </w:p>
        </w:tc>
        <w:tc>
          <w:tcPr>
            <w:tcW w:type="dxa" w:w="5500"/>
            <w:tcBorders>
              <w:top w:val="single" w:color="BBBBBB" w:sz="1"/>
              <w:left w:val="single" w:color="DDDDDD" w:sz="1"/>
              <w:bottom w:val="single" w:color="BBBBBB" w:sz="1"/>
              <w:right w:val="single" w:color="DDDDDD" w:sz="1"/>
            </w:tcBorders>
            <w:shd w:fill="f0f4f8" w:val="clear"/>
            <w:vAlign w:val="center"/>
          </w:tcPr>
          <w:p>
            <w:pPr>
              <w:spacing w:after="40" w:before="40"/>
              <w:jc w:val="left"/>
            </w:pPr>
            <w:r>
              <w:rPr>
                <w:rFonts w:ascii="Calibri" w:cs="Calibri" w:eastAsia="Calibri" w:hAnsi="Calibri"/>
                <w:color w:val="1a1a1a"/>
                <w:sz w:val="17"/>
                <w:szCs w:val="17"/>
              </w:rPr>
              <w:t xml:space="preserve">Begin nested semantic group</w:t>
            </w:r>
          </w:p>
        </w:tc>
      </w:tr>
      <w:tr>
        <w:tc>
          <w:tcPr>
            <w:tcW w:type="dxa" w:w="10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onsolas" w:cs="Consolas" w:eastAsia="Consolas" w:hAnsi="Consolas"/>
                <w:color w:val="1a6b4a"/>
                <w:sz w:val="18"/>
                <w:szCs w:val="18"/>
              </w:rPr>
              <w:t xml:space="preserve">}</w:t>
            </w:r>
          </w:p>
        </w:tc>
        <w:tc>
          <w:tcPr>
            <w:tcW w:type="dxa" w:w="16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alibri" w:cs="Calibri" w:eastAsia="Calibri" w:hAnsi="Calibri"/>
                <w:b/>
                <w:bCs/>
                <w:color w:val="1a1a1a"/>
                <w:sz w:val="17"/>
                <w:szCs w:val="17"/>
              </w:rPr>
              <w:t xml:space="preserve">Close scope</w:t>
            </w:r>
          </w:p>
        </w:tc>
        <w:tc>
          <w:tcPr>
            <w:tcW w:type="dxa" w:w="5500"/>
            <w:tcBorders>
              <w:top w:val="single" w:color="BBBBBB" w:sz="1"/>
              <w:left w:val="single" w:color="DDDDDD" w:sz="1"/>
              <w:bottom w:val="single" w:color="BBBBBB" w:sz="1"/>
              <w:right w:val="single" w:color="DDDDDD" w:sz="1"/>
            </w:tcBorders>
            <w:shd w:fill="FFFFFF" w:val="clear"/>
            <w:vAlign w:val="center"/>
          </w:tcPr>
          <w:p>
            <w:pPr>
              <w:spacing w:after="40" w:before="40"/>
              <w:jc w:val="left"/>
            </w:pPr>
            <w:r>
              <w:rPr>
                <w:rFonts w:ascii="Calibri" w:cs="Calibri" w:eastAsia="Calibri" w:hAnsi="Calibri"/>
                <w:color w:val="1a1a1a"/>
                <w:sz w:val="17"/>
                <w:szCs w:val="17"/>
              </w:rPr>
              <w:t xml:space="preserve">End nested semantic group</w:t>
            </w:r>
          </w:p>
        </w:tc>
      </w:tr>
      <w:tr>
        <w:tc>
          <w:tcPr>
            <w:tcW w:type="dxa" w:w="10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onsolas" w:cs="Consolas" w:eastAsia="Consolas" w:hAnsi="Consolas"/>
                <w:color w:val="1a6b4a"/>
                <w:sz w:val="18"/>
                <w:szCs w:val="18"/>
              </w:rPr>
              <w:t xml:space="preserve">&gt;&gt;</w:t>
            </w:r>
          </w:p>
        </w:tc>
        <w:tc>
          <w:tcPr>
            <w:tcW w:type="dxa" w:w="16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bCs/>
                <w:color w:val="1a1a1a"/>
                <w:sz w:val="17"/>
                <w:szCs w:val="17"/>
              </w:rPr>
              <w:t xml:space="preserve">Pipe</w:t>
            </w:r>
          </w:p>
        </w:tc>
        <w:tc>
          <w:tcPr>
            <w:tcW w:type="dxa" w:w="5500"/>
            <w:tcBorders>
              <w:top w:val="single" w:color="BBBBBB" w:sz="1"/>
              <w:left w:val="single" w:color="DDDDDD" w:sz="1"/>
              <w:bottom w:val="single" w:color="BBBBBB" w:sz="1"/>
              <w:right w:val="single" w:color="DDDDDD" w:sz="1"/>
            </w:tcBorders>
            <w:shd w:fill="f0f4f8" w:val="clear"/>
            <w:vAlign w:val="center"/>
          </w:tcPr>
          <w:p>
            <w:pPr>
              <w:spacing w:after="40" w:before="40"/>
              <w:jc w:val="left"/>
            </w:pPr>
            <w:r>
              <w:rPr>
                <w:rFonts w:ascii="Calibri" w:cs="Calibri" w:eastAsia="Calibri" w:hAnsi="Calibri"/>
                <w:color w:val="1a1a1a"/>
                <w:sz w:val="17"/>
                <w:szCs w:val="17"/>
              </w:rPr>
              <w:t xml:space="preserve">Sequential composition (output → input)</w:t>
            </w:r>
          </w:p>
        </w:tc>
      </w:tr>
      <w:tr>
        <w:tc>
          <w:tcPr>
            <w:tcW w:type="dxa" w:w="10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onsolas" w:cs="Consolas" w:eastAsia="Consolas" w:hAnsi="Consolas"/>
                <w:color w:val="1a6b4a"/>
                <w:sz w:val="18"/>
                <w:szCs w:val="18"/>
              </w:rPr>
              <w:t xml:space="preserve">::</w:t>
            </w:r>
          </w:p>
        </w:tc>
        <w:tc>
          <w:tcPr>
            <w:tcW w:type="dxa" w:w="16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alibri" w:cs="Calibri" w:eastAsia="Calibri" w:hAnsi="Calibri"/>
                <w:b/>
                <w:bCs/>
                <w:color w:val="1a1a1a"/>
                <w:sz w:val="17"/>
                <w:szCs w:val="17"/>
              </w:rPr>
              <w:t xml:space="preserve">Type bind</w:t>
            </w:r>
          </w:p>
        </w:tc>
        <w:tc>
          <w:tcPr>
            <w:tcW w:type="dxa" w:w="5500"/>
            <w:tcBorders>
              <w:top w:val="single" w:color="BBBBBB" w:sz="1"/>
              <w:left w:val="single" w:color="DDDDDD" w:sz="1"/>
              <w:bottom w:val="single" w:color="BBBBBB" w:sz="1"/>
              <w:right w:val="single" w:color="DDDDDD" w:sz="1"/>
            </w:tcBorders>
            <w:shd w:fill="FFFFFF" w:val="clear"/>
            <w:vAlign w:val="center"/>
          </w:tcPr>
          <w:p>
            <w:pPr>
              <w:spacing w:after="40" w:before="40"/>
              <w:jc w:val="left"/>
            </w:pPr>
            <w:r>
              <w:rPr>
                <w:rFonts w:ascii="Calibri" w:cs="Calibri" w:eastAsia="Calibri" w:hAnsi="Calibri"/>
                <w:color w:val="1a1a1a"/>
                <w:sz w:val="17"/>
                <w:szCs w:val="17"/>
              </w:rPr>
              <w:t xml:space="preserve">Assign type annotation to expression</w:t>
            </w:r>
          </w:p>
        </w:tc>
      </w:tr>
      <w:tr>
        <w:tc>
          <w:tcPr>
            <w:tcW w:type="dxa" w:w="10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onsolas" w:cs="Consolas" w:eastAsia="Consolas" w:hAnsi="Consolas"/>
                <w:color w:val="1a6b4a"/>
                <w:sz w:val="18"/>
                <w:szCs w:val="18"/>
              </w:rPr>
              <w:t xml:space="preserve">@</w:t>
            </w:r>
          </w:p>
        </w:tc>
        <w:tc>
          <w:tcPr>
            <w:tcW w:type="dxa" w:w="16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bCs/>
                <w:color w:val="1a1a1a"/>
                <w:sz w:val="17"/>
                <w:szCs w:val="17"/>
              </w:rPr>
              <w:t xml:space="preserve">Context</w:t>
            </w:r>
          </w:p>
        </w:tc>
        <w:tc>
          <w:tcPr>
            <w:tcW w:type="dxa" w:w="5500"/>
            <w:tcBorders>
              <w:top w:val="single" w:color="BBBBBB" w:sz="1"/>
              <w:left w:val="single" w:color="DDDDDD" w:sz="1"/>
              <w:bottom w:val="single" w:color="BBBBBB" w:sz="1"/>
              <w:right w:val="single" w:color="DDDDDD" w:sz="1"/>
            </w:tcBorders>
            <w:shd w:fill="f0f4f8" w:val="clear"/>
            <w:vAlign w:val="center"/>
          </w:tcPr>
          <w:p>
            <w:pPr>
              <w:spacing w:after="40" w:before="40"/>
              <w:jc w:val="left"/>
            </w:pPr>
            <w:r>
              <w:rPr>
                <w:rFonts w:ascii="Calibri" w:cs="Calibri" w:eastAsia="Calibri" w:hAnsi="Calibri"/>
                <w:color w:val="1a1a1a"/>
                <w:sz w:val="17"/>
                <w:szCs w:val="17"/>
              </w:rPr>
              <w:t xml:space="preserve">Domain/context qualifier</w:t>
            </w:r>
          </w:p>
        </w:tc>
      </w:tr>
      <w:tr>
        <w:tc>
          <w:tcPr>
            <w:tcW w:type="dxa" w:w="10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onsolas" w:cs="Consolas" w:eastAsia="Consolas" w:hAnsi="Consolas"/>
                <w:color w:val="1a6b4a"/>
                <w:sz w:val="18"/>
                <w:szCs w:val="18"/>
              </w:rPr>
              <w:t xml:space="preserve">#</w:t>
            </w:r>
          </w:p>
        </w:tc>
        <w:tc>
          <w:tcPr>
            <w:tcW w:type="dxa" w:w="16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alibri" w:cs="Calibri" w:eastAsia="Calibri" w:hAnsi="Calibri"/>
                <w:b/>
                <w:bCs/>
                <w:color w:val="1a1a1a"/>
                <w:sz w:val="17"/>
                <w:szCs w:val="17"/>
              </w:rPr>
              <w:t xml:space="preserve">Reference</w:t>
            </w:r>
          </w:p>
        </w:tc>
        <w:tc>
          <w:tcPr>
            <w:tcW w:type="dxa" w:w="5500"/>
            <w:tcBorders>
              <w:top w:val="single" w:color="BBBBBB" w:sz="1"/>
              <w:left w:val="single" w:color="DDDDDD" w:sz="1"/>
              <w:bottom w:val="single" w:color="BBBBBB" w:sz="1"/>
              <w:right w:val="single" w:color="DDDDDD" w:sz="1"/>
            </w:tcBorders>
            <w:shd w:fill="FFFFFF" w:val="clear"/>
            <w:vAlign w:val="center"/>
          </w:tcPr>
          <w:p>
            <w:pPr>
              <w:spacing w:after="40" w:before="40"/>
              <w:jc w:val="left"/>
            </w:pPr>
            <w:r>
              <w:rPr>
                <w:rFonts w:ascii="Calibri" w:cs="Calibri" w:eastAsia="Calibri" w:hAnsi="Calibri"/>
                <w:color w:val="1a1a1a"/>
                <w:sz w:val="17"/>
                <w:szCs w:val="17"/>
              </w:rPr>
              <w:t xml:space="preserve">Link to external resource or prior expression</w:t>
            </w:r>
          </w:p>
        </w:tc>
      </w:tr>
      <w:tr>
        <w:tc>
          <w:tcPr>
            <w:tcW w:type="dxa" w:w="10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onsolas" w:cs="Consolas" w:eastAsia="Consolas" w:hAnsi="Consolas"/>
                <w:color w:val="1a6b4a"/>
                <w:sz w:val="18"/>
                <w:szCs w:val="18"/>
              </w:rPr>
              <w:t xml:space="preserve">~</w:t>
            </w:r>
          </w:p>
        </w:tc>
        <w:tc>
          <w:tcPr>
            <w:tcW w:type="dxa" w:w="16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bCs/>
                <w:color w:val="1a1a1a"/>
                <w:sz w:val="17"/>
                <w:szCs w:val="17"/>
              </w:rPr>
              <w:t xml:space="preserve">Approximate</w:t>
            </w:r>
          </w:p>
        </w:tc>
        <w:tc>
          <w:tcPr>
            <w:tcW w:type="dxa" w:w="5500"/>
            <w:tcBorders>
              <w:top w:val="single" w:color="BBBBBB" w:sz="1"/>
              <w:left w:val="single" w:color="DDDDDD" w:sz="1"/>
              <w:bottom w:val="single" w:color="BBBBBB" w:sz="1"/>
              <w:right w:val="single" w:color="DDDDDD" w:sz="1"/>
            </w:tcBorders>
            <w:shd w:fill="f0f4f8" w:val="clear"/>
            <w:vAlign w:val="center"/>
          </w:tcPr>
          <w:p>
            <w:pPr>
              <w:spacing w:after="40" w:before="40"/>
              <w:jc w:val="left"/>
            </w:pPr>
            <w:r>
              <w:rPr>
                <w:rFonts w:ascii="Calibri" w:cs="Calibri" w:eastAsia="Calibri" w:hAnsi="Calibri"/>
                <w:color w:val="1a1a1a"/>
                <w:sz w:val="17"/>
                <w:szCs w:val="17"/>
              </w:rPr>
              <w:t xml:space="preserve">Fuzzy matching or uncertainty modifier</w:t>
            </w:r>
          </w:p>
        </w:tc>
      </w:tr>
      <w:tr>
        <w:tc>
          <w:tcPr>
            <w:tcW w:type="dxa" w:w="10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onsolas" w:cs="Consolas" w:eastAsia="Consolas" w:hAnsi="Consolas"/>
                <w:color w:val="1a6b4a"/>
                <w:sz w:val="18"/>
                <w:szCs w:val="18"/>
              </w:rPr>
              <w:t xml:space="preserve">!</w:t>
            </w:r>
          </w:p>
        </w:tc>
        <w:tc>
          <w:tcPr>
            <w:tcW w:type="dxa" w:w="16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alibri" w:cs="Calibri" w:eastAsia="Calibri" w:hAnsi="Calibri"/>
                <w:b/>
                <w:bCs/>
                <w:color w:val="1a1a1a"/>
                <w:sz w:val="17"/>
                <w:szCs w:val="17"/>
              </w:rPr>
              <w:t xml:space="preserve">Priority</w:t>
            </w:r>
          </w:p>
        </w:tc>
        <w:tc>
          <w:tcPr>
            <w:tcW w:type="dxa" w:w="5500"/>
            <w:tcBorders>
              <w:top w:val="single" w:color="BBBBBB" w:sz="1"/>
              <w:left w:val="single" w:color="DDDDDD" w:sz="1"/>
              <w:bottom w:val="single" w:color="BBBBBB" w:sz="1"/>
              <w:right w:val="single" w:color="DDDDDD" w:sz="1"/>
            </w:tcBorders>
            <w:shd w:fill="FFFFFF" w:val="clear"/>
            <w:vAlign w:val="center"/>
          </w:tcPr>
          <w:p>
            <w:pPr>
              <w:spacing w:after="40" w:before="40"/>
              <w:jc w:val="left"/>
            </w:pPr>
            <w:r>
              <w:rPr>
                <w:rFonts w:ascii="Calibri" w:cs="Calibri" w:eastAsia="Calibri" w:hAnsi="Calibri"/>
                <w:color w:val="1a1a1a"/>
                <w:sz w:val="17"/>
                <w:szCs w:val="17"/>
              </w:rPr>
              <w:t xml:space="preserve">Urgency or importance escalation</w:t>
            </w:r>
          </w:p>
        </w:tc>
      </w:tr>
    </w:tbl>
    <w:p>
      <w:pPr>
        <w:pStyle w:val="Heading2"/>
        <w:spacing w:after="160" w:before="260"/>
        <w:jc w:val="left"/>
      </w:pPr>
      <w:r>
        <w:rPr>
          <w:rFonts w:ascii="Calibri" w:cs="Calibri" w:eastAsia="Calibri" w:hAnsi="Calibri"/>
          <w:b/>
          <w:bCs/>
          <w:color w:val="1a1a2e"/>
          <w:sz w:val="24"/>
          <w:szCs w:val="24"/>
        </w:rPr>
        <w:t xml:space="preserve">4.3 Layer-wise Design</w:t>
      </w:r>
    </w:p>
    <w:p>
      <w:pPr>
        <w:pStyle w:val="Heading3"/>
        <w:spacing w:after="160" w:before="260"/>
        <w:jc w:val="left"/>
      </w:pPr>
      <w:r>
        <w:rPr>
          <w:rFonts w:ascii="Calibri" w:cs="Calibri" w:eastAsia="Calibri" w:hAnsi="Calibri"/>
          <w:b/>
          <w:bCs/>
          <w:color w:val="1a1a2e"/>
          <w:sz w:val="21"/>
          <w:szCs w:val="21"/>
        </w:rPr>
        <w:t xml:space="preserve">4.3.1 Intent Layer</w:t>
      </w:r>
    </w:p>
    <w:p>
      <w:pPr>
        <w:spacing w:after="180" w:before="0" w:line="300"/>
        <w:jc w:val="both"/>
      </w:pPr>
      <w:r>
        <w:rPr>
          <w:rFonts w:ascii="Cambria" w:cs="Cambria" w:eastAsia="Cambria" w:hAnsi="Cambria"/>
          <w:sz w:val="22"/>
          <w:szCs w:val="22"/>
        </w:rPr>
        <w:t xml:space="preserve">The Intent Layer is the human-facing interface. It accepts natural language input, extracts intent using pattern matching and/or LLM classification, and produces a structured intent declaration:</w:t>
      </w:r>
    </w:p>
    <w:p>
      <w:pPr>
        <w:shd w:fill="f5f5f5" w:val="clear"/>
        <w:spacing w:after="60" w:line="260"/>
        <w:ind w:left="576"/>
      </w:pPr>
      <w:r>
        <w:rPr>
          <w:rFonts w:ascii="Consolas" w:cs="Consolas" w:eastAsia="Consolas" w:hAnsi="Consolas"/>
          <w:color w:val="2d2d2d"/>
          <w:sz w:val="18"/>
          <w:szCs w:val="18"/>
        </w:rPr>
        <w:t xml:space="preserve">IntentDeclaration ::= SIGN(H_pub, {Δ_type, @domain, content_hash, τ})</w:t>
      </w:r>
    </w:p>
    <w:p>
      <w:pPr>
        <w:spacing w:after="180" w:before="0" w:line="300"/>
        <w:jc w:val="both"/>
      </w:pPr>
      <w:r>
        <w:rPr>
          <w:rFonts w:ascii="Cambria" w:cs="Cambria" w:eastAsia="Cambria" w:hAnsi="Cambria"/>
          <w:sz w:val="22"/>
          <w:szCs w:val="22"/>
        </w:rPr>
        <w:t xml:space="preserve">The intent declaration is signed with the human's private key using Dilithium-5 (NIST PQC, 2022), producing a post-quantum-resistant signature. The content_hash is SHA-256 of the original input.</w:t>
      </w:r>
    </w:p>
    <w:p>
      <w:pPr>
        <w:pStyle w:val="Heading3"/>
        <w:spacing w:after="160" w:before="260"/>
        <w:jc w:val="left"/>
      </w:pPr>
      <w:r>
        <w:rPr>
          <w:rFonts w:ascii="Calibri" w:cs="Calibri" w:eastAsia="Calibri" w:hAnsi="Calibri"/>
          <w:b/>
          <w:bCs/>
          <w:color w:val="1a1a2e"/>
          <w:sz w:val="21"/>
          <w:szCs w:val="21"/>
        </w:rPr>
        <w:t xml:space="preserve">4.3.2 Meaning Layer</w:t>
      </w:r>
    </w:p>
    <w:p>
      <w:pPr>
        <w:spacing w:after="180" w:before="0" w:line="300"/>
        <w:jc w:val="both"/>
      </w:pPr>
      <w:r>
        <w:rPr>
          <w:rFonts w:ascii="Cambria" w:cs="Cambria" w:eastAsia="Cambria" w:hAnsi="Cambria"/>
          <w:sz w:val="22"/>
          <w:szCs w:val="22"/>
        </w:rPr>
        <w:t xml:space="preserve">The Meaning Layer annotates the intent with semantic type information from the Σ category. Each semantic unit receives a type tag (ΣF for factual claims, ΣH for hypotheses, etc.) and is embedded into a context graph that preserves relationships between units.</w:t>
      </w:r>
    </w:p>
    <w:p>
      <w:pPr>
        <w:spacing w:after="180" w:before="0" w:line="300"/>
        <w:jc w:val="both"/>
      </w:pPr>
      <w:r>
        <w:rPr>
          <w:rFonts w:ascii="Cambria" w:cs="Cambria" w:eastAsia="Cambria" w:hAnsi="Cambria"/>
          <w:sz w:val="22"/>
          <w:szCs w:val="22"/>
        </w:rPr>
        <w:t xml:space="preserve">The context graph is a directed acyclic graph (DAG) where nodes are semantic units and edges represent semantic relationships (supports, contradicts, depends-on, refines). This structure enables:</w:t>
      </w:r>
    </w:p>
    <w:p>
      <w:pPr>
        <w:pStyle w:val="ListParagraph"/>
        <w:numPr>
          <w:ilvl w:val="0"/>
          <w:numId w:val="2"/>
        </w:numPr>
        <w:spacing w:after="100" w:line="280"/>
      </w:pPr>
      <w:r>
        <w:rPr>
          <w:rFonts w:ascii="Cambria" w:cs="Cambria" w:eastAsia="Cambria" w:hAnsi="Cambria"/>
          <w:sz w:val="22"/>
          <w:szCs w:val="22"/>
        </w:rPr>
        <w:t xml:space="preserve">Dependency tracking across multi-step reasoning</w:t>
      </w:r>
    </w:p>
    <w:p>
      <w:pPr>
        <w:pStyle w:val="ListParagraph"/>
        <w:numPr>
          <w:ilvl w:val="0"/>
          <w:numId w:val="2"/>
        </w:numPr>
        <w:spacing w:after="100" w:line="280"/>
      </w:pPr>
      <w:r>
        <w:rPr>
          <w:rFonts w:ascii="Cambria" w:cs="Cambria" w:eastAsia="Cambria" w:hAnsi="Cambria"/>
          <w:sz w:val="22"/>
          <w:szCs w:val="22"/>
        </w:rPr>
        <w:t xml:space="preserve">Contradiction detection (conflicting ΣF nodes)</w:t>
      </w:r>
    </w:p>
    <w:p>
      <w:pPr>
        <w:pStyle w:val="ListParagraph"/>
        <w:numPr>
          <w:ilvl w:val="0"/>
          <w:numId w:val="2"/>
        </w:numPr>
        <w:spacing w:after="100" w:line="280"/>
      </w:pPr>
      <w:r>
        <w:rPr>
          <w:rFonts w:ascii="Cambria" w:cs="Cambria" w:eastAsia="Cambria" w:hAnsi="Cambria"/>
          <w:sz w:val="22"/>
          <w:szCs w:val="22"/>
        </w:rPr>
        <w:t xml:space="preserve">Uncertainty propagation (ΣH nodes propagate uncertainty to dependents)</w:t>
      </w:r>
    </w:p>
    <w:p>
      <w:pPr>
        <w:pStyle w:val="Heading3"/>
        <w:spacing w:after="160" w:before="260"/>
        <w:jc w:val="left"/>
      </w:pPr>
      <w:r>
        <w:rPr>
          <w:rFonts w:ascii="Calibri" w:cs="Calibri" w:eastAsia="Calibri" w:hAnsi="Calibri"/>
          <w:b/>
          <w:bCs/>
          <w:color w:val="1a1a2e"/>
          <w:sz w:val="21"/>
          <w:szCs w:val="21"/>
        </w:rPr>
        <w:t xml:space="preserve">4.3.3 Verification Layer</w:t>
      </w:r>
    </w:p>
    <w:p>
      <w:pPr>
        <w:spacing w:after="180" w:before="0" w:line="300"/>
        <w:jc w:val="both"/>
      </w:pPr>
      <w:r>
        <w:rPr>
          <w:rFonts w:ascii="Cambria" w:cs="Cambria" w:eastAsia="Cambria" w:hAnsi="Cambria"/>
          <w:sz w:val="22"/>
          <w:szCs w:val="22"/>
        </w:rPr>
        <w:t xml:space="preserve">The Verification Layer implements three verification mechanisms:</w:t>
      </w:r>
    </w:p>
    <w:p>
      <w:pPr>
        <w:spacing w:after="180" w:before="0" w:line="300"/>
        <w:jc w:val="both"/>
      </w:pPr>
      <w:r>
        <w:rPr>
          <w:rFonts w:ascii="Cambria" w:cs="Cambria" w:eastAsia="Cambria" w:hAnsi="Cambria"/>
          <w:sz w:val="22"/>
          <w:szCs w:val="22"/>
        </w:rPr>
        <w:t xml:space="preserve"/>
      </w:r>
      <w:r>
        <w:rPr>
          <w:rFonts w:ascii="Cambria" w:cs="Cambria" w:eastAsia="Cambria" w:hAnsi="Cambria"/>
          <w:b/>
          <w:bCs/>
          <w:sz w:val="22"/>
          <w:szCs w:val="22"/>
        </w:rPr>
        <w:t xml:space="preserve">Signature Verification.</w:t>
      </w:r>
      <w:r>
        <w:rPr>
          <w:rFonts w:ascii="Cambria" w:cs="Cambria" w:eastAsia="Cambria" w:hAnsi="Cambria"/>
          <w:sz w:val="22"/>
          <w:szCs w:val="22"/>
        </w:rPr>
        <w:t xml:space="preserve"> Every intent declaration carries a Dilithium-5 signature. Agents verify the signature before processing, rejecting unsigned or tampered messages.</w:t>
      </w:r>
    </w:p>
    <w:p>
      <w:pPr>
        <w:spacing w:after="180" w:before="0" w:line="300"/>
        <w:jc w:val="both"/>
      </w:pPr>
      <w:r>
        <w:rPr>
          <w:rFonts w:ascii="Cambria" w:cs="Cambria" w:eastAsia="Cambria" w:hAnsi="Cambria"/>
          <w:sz w:val="22"/>
          <w:szCs w:val="22"/>
        </w:rPr>
        <w:t xml:space="preserve"/>
      </w:r>
      <w:r>
        <w:rPr>
          <w:rFonts w:ascii="Cambria" w:cs="Cambria" w:eastAsia="Cambria" w:hAnsi="Cambria"/>
          <w:b/>
          <w:bCs/>
          <w:sz w:val="22"/>
          <w:szCs w:val="22"/>
        </w:rPr>
        <w:t xml:space="preserve">Merkle-Tree Proof.</w:t>
      </w:r>
      <w:r>
        <w:rPr>
          <w:rFonts w:ascii="Cambria" w:cs="Cambria" w:eastAsia="Cambria" w:hAnsi="Cambria"/>
          <w:sz w:val="22"/>
          <w:szCs w:val="22"/>
        </w:rPr>
        <w:t xml:space="preserve"> The semantic encoding (all Σ-tagged units and their relationships) is hashed into a Merkle tree. The Merkle root is included in the blockchain anchor. Any modification to the semantic encoding invalidates the proof.</w:t>
      </w:r>
    </w:p>
    <w:p>
      <w:pPr>
        <w:spacing w:after="180" w:before="0" w:line="300"/>
        <w:jc w:val="both"/>
      </w:pPr>
      <w:r>
        <w:rPr>
          <w:rFonts w:ascii="Cambria" w:cs="Cambria" w:eastAsia="Cambria" w:hAnsi="Cambria"/>
          <w:sz w:val="22"/>
          <w:szCs w:val="22"/>
        </w:rPr>
        <w:t xml:space="preserve"/>
      </w:r>
      <w:r>
        <w:rPr>
          <w:rFonts w:ascii="Cambria" w:cs="Cambria" w:eastAsia="Cambria" w:hAnsi="Cambria"/>
          <w:b/>
          <w:bCs/>
          <w:sz w:val="22"/>
          <w:szCs w:val="22"/>
        </w:rPr>
        <w:t xml:space="preserve">Dual-Model Anti-Confabulation.</w:t>
      </w:r>
      <w:r>
        <w:rPr>
          <w:rFonts w:ascii="Cambria" w:cs="Cambria" w:eastAsia="Cambria" w:hAnsi="Cambria"/>
          <w:sz w:val="22"/>
          <w:szCs w:val="22"/>
        </w:rPr>
        <w:t xml:space="preserve"> Two independent LLMs process the same intent in parallel. Their outputs are compared using cosine similarity on the embedding vectors. Concordance (✓C) is declared only when the similarity exceeds threshold θ_c = 0.92. Discordance triggers ⚠H (hallucination warning) and routes the message for human review.</w:t>
      </w:r>
    </w:p>
    <w:p>
      <w:pPr>
        <w:pStyle w:val="Heading3"/>
        <w:spacing w:after="160" w:before="260"/>
        <w:jc w:val="left"/>
      </w:pPr>
      <w:r>
        <w:rPr>
          <w:rFonts w:ascii="Calibri" w:cs="Calibri" w:eastAsia="Calibri" w:hAnsi="Calibri"/>
          <w:b/>
          <w:bCs/>
          <w:color w:val="1a1a2e"/>
          <w:sz w:val="21"/>
          <w:szCs w:val="21"/>
        </w:rPr>
        <w:t xml:space="preserve">4.3.4 Structure Layer</w:t>
      </w:r>
    </w:p>
    <w:p>
      <w:pPr>
        <w:spacing w:after="180" w:before="0" w:line="300"/>
        <w:jc w:val="both"/>
      </w:pPr>
      <w:r>
        <w:rPr>
          <w:rFonts w:ascii="Cambria" w:cs="Cambria" w:eastAsia="Cambria" w:hAnsi="Cambria"/>
          <w:sz w:val="22"/>
          <w:szCs w:val="22"/>
        </w:rPr>
        <w:t xml:space="preserve">The Structure Layer provides composition operators that combine primitives into complex expressions:</w:t>
      </w:r>
    </w:p>
    <w:p>
      <w:pPr>
        <w:shd w:fill="f5f5f5" w:val="clear"/>
        <w:spacing w:after="60" w:line="260"/>
        <w:ind w:left="576"/>
      </w:pPr>
      <w:r>
        <w:rPr>
          <w:rFonts w:ascii="Consolas" w:cs="Consolas" w:eastAsia="Consolas" w:hAnsi="Consolas"/>
          <w:color w:val="2d2d2d"/>
          <w:sz w:val="18"/>
          <w:szCs w:val="18"/>
        </w:rPr>
        <w:t xml:space="preserve">ΔQ @medical &gt;&gt; { ΣF :: ✓S &gt;&gt; ΣH :: ~0.8 } ! &gt;&gt; ✓B</w:t>
      </w:r>
    </w:p>
    <w:p>
      <w:pPr>
        <w:spacing w:after="180" w:before="0" w:line="300"/>
        <w:jc w:val="both"/>
      </w:pPr>
      <w:r>
        <w:rPr>
          <w:rFonts w:ascii="Cambria" w:cs="Cambria" w:eastAsia="Cambria" w:hAnsi="Cambria"/>
          <w:sz w:val="22"/>
          <w:szCs w:val="22"/>
        </w:rPr>
        <w:t xml:space="preserve">This expression reads: "Query in medical domain, pipe to: a stamped factual claim followed by a hypothesis with 0.8 confidence, at high priority, then verify on blockchain." The structure operators enable routing (&gt;&gt;), scoping ({...}), type binding (::), domain qualification (@), and priority (!).</w:t>
      </w:r>
    </w:p>
    <w:p>
      <w:pPr>
        <w:pStyle w:val="Heading2"/>
        <w:spacing w:after="160" w:before="260"/>
        <w:jc w:val="left"/>
      </w:pPr>
      <w:r>
        <w:rPr>
          <w:rFonts w:ascii="Calibri" w:cs="Calibri" w:eastAsia="Calibri" w:hAnsi="Calibri"/>
          <w:b/>
          <w:bCs/>
          <w:color w:val="1a1a2e"/>
          <w:sz w:val="24"/>
          <w:szCs w:val="24"/>
        </w:rPr>
        <w:t xml:space="preserve">4.4 Multi-Agent Semantic Exchange</w:t>
      </w:r>
    </w:p>
    <w:p>
      <w:pPr>
        <w:spacing w:after="180" w:before="0" w:line="300"/>
        <w:jc w:val="both"/>
      </w:pPr>
      <w:r>
        <w:rPr>
          <w:rFonts w:ascii="Cambria" w:cs="Cambria" w:eastAsia="Cambria" w:hAnsi="Cambria"/>
          <w:sz w:val="22"/>
          <w:szCs w:val="22"/>
        </w:rPr>
        <w:t xml:space="preserve">In a multi-agent pipeline, each agent receives a GibberishAI expression, processes it, and produces a new expression. The protocol requires that each agent:</w:t>
      </w:r>
    </w:p>
    <w:p>
      <w:pPr>
        <w:pStyle w:val="ListParagraph"/>
        <w:numPr>
          <w:ilvl w:val="0"/>
          <w:numId w:val="3"/>
        </w:numPr>
        <w:spacing w:after="100" w:line="280"/>
      </w:pPr>
      <w:r>
        <w:rPr>
          <w:rFonts w:ascii="Cambria" w:cs="Cambria" w:eastAsia="Cambria" w:hAnsi="Cambria"/>
          <w:sz w:val="22"/>
          <w:szCs w:val="22"/>
        </w:rPr>
        <w:t xml:space="preserve">Verify the upstream signature chain (from the original human anchor back through all intermediaries)</w:t>
      </w:r>
    </w:p>
    <w:p>
      <w:pPr>
        <w:pStyle w:val="ListParagraph"/>
        <w:numPr>
          <w:ilvl w:val="0"/>
          <w:numId w:val="3"/>
        </w:numPr>
        <w:spacing w:after="100" w:line="280"/>
      </w:pPr>
      <w:r>
        <w:rPr>
          <w:rFonts w:ascii="Cambria" w:cs="Cambria" w:eastAsia="Cambria" w:hAnsi="Cambria"/>
          <w:sz w:val="22"/>
          <w:szCs w:val="22"/>
        </w:rPr>
        <w:t xml:space="preserve">Preserve the original intent hash (passed through unchanged)</w:t>
      </w:r>
    </w:p>
    <w:p>
      <w:pPr>
        <w:pStyle w:val="ListParagraph"/>
        <w:numPr>
          <w:ilvl w:val="0"/>
          <w:numId w:val="3"/>
        </w:numPr>
        <w:spacing w:after="100" w:line="280"/>
      </w:pPr>
      <w:r>
        <w:rPr>
          <w:rFonts w:ascii="Cambria" w:cs="Cambria" w:eastAsia="Cambria" w:hAnsi="Cambria"/>
          <w:sz w:val="22"/>
          <w:szCs w:val="22"/>
        </w:rPr>
        <w:t xml:space="preserve">Append its own signed contribution to the chain</w:t>
      </w:r>
    </w:p>
    <w:p>
      <w:pPr>
        <w:pStyle w:val="ListParagraph"/>
        <w:numPr>
          <w:ilvl w:val="0"/>
          <w:numId w:val="3"/>
        </w:numPr>
        <w:spacing w:after="100" w:line="280"/>
      </w:pPr>
      <w:r>
        <w:rPr>
          <w:rFonts w:ascii="Cambria" w:cs="Cambria" w:eastAsia="Cambria" w:hAnsi="Cambria"/>
          <w:sz w:val="22"/>
          <w:szCs w:val="22"/>
        </w:rPr>
        <w:t xml:space="preserve">Run dual-model verification on any generated content</w:t>
      </w:r>
    </w:p>
    <w:p>
      <w:pPr>
        <w:spacing w:after="180" w:before="0" w:line="300"/>
        <w:jc w:val="both"/>
      </w:pPr>
      <w:r>
        <w:rPr>
          <w:rFonts w:ascii="Cambria" w:cs="Cambria" w:eastAsia="Cambria" w:hAnsi="Cambria"/>
          <w:sz w:val="22"/>
          <w:szCs w:val="22"/>
        </w:rPr>
        <w:t xml:space="preserve">If any verification fails, the agent MUST NOT propagate the message. Instead, it emits a ⚠D (drift) or ⚠H (hallucination) alert and routes the message for human review.</w:t>
      </w:r>
    </w:p>
    <w:p>
      <w:pPr>
        <w:pStyle w:val="Heading2"/>
        <w:spacing w:after="160" w:before="260"/>
        <w:jc w:val="left"/>
      </w:pPr>
      <w:r>
        <w:rPr>
          <w:rFonts w:ascii="Calibri" w:cs="Calibri" w:eastAsia="Calibri" w:hAnsi="Calibri"/>
          <w:b/>
          <w:bCs/>
          <w:color w:val="1a1a2e"/>
          <w:sz w:val="24"/>
          <w:szCs w:val="24"/>
        </w:rPr>
        <w:t xml:space="preserve">4.5 Formal Grammar (EBNF)</w:t>
      </w:r>
    </w:p>
    <w:p>
      <w:pPr>
        <w:spacing w:after="180" w:before="0" w:line="300"/>
        <w:jc w:val="both"/>
      </w:pPr>
      <w:r>
        <w:rPr>
          <w:rFonts w:ascii="Cambria" w:cs="Cambria" w:eastAsia="Cambria" w:hAnsi="Cambria"/>
          <w:sz w:val="22"/>
          <w:szCs w:val="22"/>
        </w:rPr>
        <w:t xml:space="preserve">The GibberishAI protocol is defined by the following Extended Backus-Naur Form (EBNF) grammar:</w:t>
      </w:r>
    </w:p>
    <w:p>
      <w:pPr>
        <w:shd w:fill="f5f5f5" w:val="clear"/>
        <w:spacing w:after="60" w:line="260"/>
        <w:ind w:left="576"/>
      </w:pPr>
      <w:r>
        <w:rPr>
          <w:rFonts w:ascii="Consolas" w:cs="Consolas" w:eastAsia="Consolas" w:hAnsi="Consolas"/>
          <w:color w:val="2d2d2d"/>
          <w:sz w:val="18"/>
          <w:szCs w:val="18"/>
        </w:rPr>
        <w:t xml:space="preserve">expression     ::= primitive | compound | expression '&gt;&gt;' expression</w:t>
      </w:r>
    </w:p>
    <w:p>
      <w:pPr>
        <w:shd w:fill="f5f5f5" w:val="clear"/>
        <w:spacing w:after="60" w:line="260"/>
        <w:ind w:left="576"/>
      </w:pPr>
      <w:r>
        <w:rPr>
          <w:rFonts w:ascii="Consolas" w:cs="Consolas" w:eastAsia="Consolas" w:hAnsi="Consolas"/>
          <w:color w:val="2d2d2d"/>
          <w:sz w:val="18"/>
          <w:szCs w:val="18"/>
        </w:rPr>
        <w:t xml:space="preserve">compound       ::= '{' expression+ '}'</w:t>
      </w:r>
    </w:p>
    <w:p>
      <w:pPr>
        <w:shd w:fill="f5f5f5" w:val="clear"/>
        <w:spacing w:after="60" w:line="260"/>
        <w:ind w:left="576"/>
      </w:pPr>
      <w:r>
        <w:rPr>
          <w:rFonts w:ascii="Consolas" w:cs="Consolas" w:eastAsia="Consolas" w:hAnsi="Consolas"/>
          <w:color w:val="2d2d2d"/>
          <w:sz w:val="18"/>
          <w:szCs w:val="18"/>
        </w:rPr>
        <w:t xml:space="preserve">primitive      ::= intent | meaning | verify | struct_op</w:t>
      </w:r>
    </w:p>
    <w:p>
      <w:pPr>
        <w:shd w:fill="f5f5f5" w:val="clear"/>
        <w:spacing w:after="60" w:line="260"/>
        <w:ind w:left="576"/>
      </w:pPr>
      <w:r>
        <w:rPr>
          <w:rFonts w:ascii="Consolas" w:cs="Consolas" w:eastAsia="Consolas" w:hAnsi="Consolas"/>
          <w:color w:val="2d2d2d"/>
          <w:sz w:val="18"/>
          <w:szCs w:val="18"/>
        </w:rPr>
        <w:t xml:space="preserve">intent         ::= 'Δ' INTENT_TYPE ('@' DOMAIN)?</w:t>
      </w:r>
    </w:p>
    <w:p>
      <w:pPr>
        <w:shd w:fill="f5f5f5" w:val="clear"/>
        <w:spacing w:after="60" w:line="260"/>
        <w:ind w:left="576"/>
      </w:pPr>
      <w:r>
        <w:rPr>
          <w:rFonts w:ascii="Consolas" w:cs="Consolas" w:eastAsia="Consolas" w:hAnsi="Consolas"/>
          <w:color w:val="2d2d2d"/>
          <w:sz w:val="18"/>
          <w:szCs w:val="18"/>
        </w:rPr>
        <w:t xml:space="preserve">meaning        ::= 'Σ' MEANING_TYPE ('::' type_bind)?</w:t>
      </w:r>
    </w:p>
    <w:p>
      <w:pPr>
        <w:shd w:fill="f5f5f5" w:val="clear"/>
        <w:spacing w:after="60" w:line="260"/>
        <w:ind w:left="576"/>
      </w:pPr>
      <w:r>
        <w:rPr>
          <w:rFonts w:ascii="Consolas" w:cs="Consolas" w:eastAsia="Consolas" w:hAnsi="Consolas"/>
          <w:color w:val="2d2d2d"/>
          <w:sz w:val="18"/>
          <w:szCs w:val="18"/>
        </w:rPr>
        <w:t xml:space="preserve">verify         ::= ('✓' | '⚠') VERIFY_TYPE</w:t>
      </w:r>
    </w:p>
    <w:p>
      <w:pPr>
        <w:shd w:fill="f5f5f5" w:val="clear"/>
        <w:spacing w:after="60" w:line="260"/>
        <w:ind w:left="576"/>
      </w:pPr>
      <w:r>
        <w:rPr>
          <w:rFonts w:ascii="Consolas" w:cs="Consolas" w:eastAsia="Consolas" w:hAnsi="Consolas"/>
          <w:color w:val="2d2d2d"/>
          <w:sz w:val="18"/>
          <w:szCs w:val="18"/>
        </w:rPr>
        <w:t xml:space="preserve">type_bind      ::= verify | '~' FLOAT</w:t>
      </w:r>
    </w:p>
    <w:p>
      <w:pPr>
        <w:shd w:fill="f5f5f5" w:val="clear"/>
        <w:spacing w:after="60" w:line="260"/>
        <w:ind w:left="576"/>
      </w:pPr>
      <w:r>
        <w:rPr>
          <w:rFonts w:ascii="Consolas" w:cs="Consolas" w:eastAsia="Consolas" w:hAnsi="Consolas"/>
          <w:color w:val="2d2d2d"/>
          <w:sz w:val="18"/>
          <w:szCs w:val="18"/>
        </w:rPr>
        <w:t xml:space="preserve">struct_op      ::= '!' | '#' REF_ID | '@' DOMAIN</w:t>
      </w:r>
    </w:p>
    <w:p>
      <w:pPr>
        <w:shd w:fill="f5f5f5" w:val="clear"/>
        <w:spacing w:after="60" w:line="260"/>
        <w:ind w:left="576"/>
      </w:pPr>
      <w:r>
        <w:rPr>
          <w:rFonts w:ascii="Consolas" w:cs="Consolas" w:eastAsia="Consolas" w:hAnsi="Consolas"/>
          <w:color w:val="2d2d2d"/>
          <w:sz w:val="18"/>
          <w:szCs w:val="18"/>
        </w:rPr>
        <w:t xml:space="preserve">INTENT_TYPE    ::= 'Q' | 'C' | 'A' | 'G' | 'V' | 'T' | 'R' | 'X'</w:t>
      </w:r>
    </w:p>
    <w:p>
      <w:pPr>
        <w:shd w:fill="f5f5f5" w:val="clear"/>
        <w:spacing w:after="60" w:line="260"/>
        <w:ind w:left="576"/>
      </w:pPr>
      <w:r>
        <w:rPr>
          <w:rFonts w:ascii="Consolas" w:cs="Consolas" w:eastAsia="Consolas" w:hAnsi="Consolas"/>
          <w:color w:val="2d2d2d"/>
          <w:sz w:val="18"/>
          <w:szCs w:val="18"/>
        </w:rPr>
        <w:t xml:space="preserve">MEANING_TYPE   ::= 'F' | 'O' | 'H' | 'I' | 'M' | 'E' | 'P' | 'N'</w:t>
      </w:r>
    </w:p>
    <w:p>
      <w:pPr>
        <w:shd w:fill="f5f5f5" w:val="clear"/>
        <w:spacing w:after="60" w:line="260"/>
        <w:ind w:left="576"/>
      </w:pPr>
      <w:r>
        <w:rPr>
          <w:rFonts w:ascii="Consolas" w:cs="Consolas" w:eastAsia="Consolas" w:hAnsi="Consolas"/>
          <w:color w:val="2d2d2d"/>
          <w:sz w:val="18"/>
          <w:szCs w:val="18"/>
        </w:rPr>
        <w:t xml:space="preserve">VERIFY_TYPE    ::= 'S' | 'I' | 'C' | 'D' | 'H' | 'B' | 'E' | 'M'</w:t>
      </w:r>
    </w:p>
    <w:p>
      <w:pPr>
        <w:shd w:fill="f5f5f5" w:val="clear"/>
        <w:spacing w:after="60" w:line="260"/>
        <w:ind w:left="576"/>
      </w:pPr>
      <w:r>
        <w:rPr>
          <w:rFonts w:ascii="Consolas" w:cs="Consolas" w:eastAsia="Consolas" w:hAnsi="Consolas"/>
          <w:color w:val="2d2d2d"/>
          <w:sz w:val="18"/>
          <w:szCs w:val="18"/>
        </w:rPr>
        <w:t xml:space="preserve">DOMAIN         ::= ALPHA+ ('-' ALPHA+)*</w:t>
      </w:r>
    </w:p>
    <w:p>
      <w:pPr>
        <w:shd w:fill="f5f5f5" w:val="clear"/>
        <w:spacing w:after="60" w:line="260"/>
        <w:ind w:left="576"/>
      </w:pPr>
      <w:r>
        <w:rPr>
          <w:rFonts w:ascii="Consolas" w:cs="Consolas" w:eastAsia="Consolas" w:hAnsi="Consolas"/>
          <w:color w:val="2d2d2d"/>
          <w:sz w:val="18"/>
          <w:szCs w:val="18"/>
        </w:rPr>
        <w:t xml:space="preserve">REF_ID         ::= ALPHANUM+</w:t>
      </w:r>
    </w:p>
    <w:p>
      <w:pPr>
        <w:shd w:fill="f5f5f5" w:val="clear"/>
        <w:spacing w:after="60" w:line="260"/>
        <w:ind w:left="576"/>
      </w:pPr>
      <w:r>
        <w:rPr>
          <w:rFonts w:ascii="Consolas" w:cs="Consolas" w:eastAsia="Consolas" w:hAnsi="Consolas"/>
          <w:color w:val="2d2d2d"/>
          <w:sz w:val="18"/>
          <w:szCs w:val="18"/>
        </w:rPr>
        <w:t xml:space="preserve">FLOAT          ::= DIGIT+ ('.' DIGIT+)?</w:t>
      </w:r>
    </w:p>
    <w:p>
      <w:pPr>
        <w:spacing w:after="180" w:before="0" w:line="300"/>
        <w:jc w:val="both"/>
      </w:pPr>
      <w:r>
        <w:rPr>
          <w:rFonts w:ascii="Cambria" w:cs="Cambria" w:eastAsia="Cambria" w:hAnsi="Cambria"/>
          <w:sz w:val="22"/>
          <w:szCs w:val="22"/>
        </w:rPr>
        <w:t xml:space="preserve">The grammar is LL(1)-parseable, ensuring deterministic, linear-time parsing with no backtracking. This property is critical for real-time multi-agent communication where parsing latency directly impacts pipeline throughput.</w:t>
      </w:r>
    </w:p>
    <w:p>
      <w:pPr>
        <w:pageBreakBefore/>
      </w:pPr>
      <w:r>
        <w:br/>
      </w:r>
    </w:p>
    <w:p>
      <w:pPr>
        <w:pStyle w:val="Heading1"/>
        <w:spacing w:after="160" w:before="380"/>
        <w:jc w:val="left"/>
      </w:pPr>
      <w:r>
        <w:rPr>
          <w:rFonts w:ascii="Calibri" w:cs="Calibri" w:eastAsia="Calibri" w:hAnsi="Calibri"/>
          <w:b/>
          <w:bCs/>
          <w:color w:val="1a1a2e"/>
          <w:sz w:val="28"/>
          <w:szCs w:val="28"/>
        </w:rPr>
        <w:t xml:space="preserve">5. Mathematical Formalisation</w:t>
      </w:r>
    </w:p>
    <w:p>
      <w:pPr>
        <w:pStyle w:val="Heading2"/>
        <w:spacing w:after="160" w:before="260"/>
        <w:jc w:val="left"/>
      </w:pPr>
      <w:r>
        <w:rPr>
          <w:rFonts w:ascii="Calibri" w:cs="Calibri" w:eastAsia="Calibri" w:hAnsi="Calibri"/>
          <w:b/>
          <w:bCs/>
          <w:color w:val="1a1a2e"/>
          <w:sz w:val="24"/>
          <w:szCs w:val="24"/>
        </w:rPr>
        <w:t xml:space="preserve">5.1 Formalizing Intent</w:t>
      </w:r>
    </w:p>
    <w:p>
      <w:pPr>
        <w:spacing w:after="180" w:before="0" w:line="300"/>
        <w:jc w:val="both"/>
      </w:pPr>
      <w:r>
        <w:rPr>
          <w:rFonts w:ascii="Cambria" w:cs="Cambria" w:eastAsia="Cambria" w:hAnsi="Cambria"/>
          <w:sz w:val="22"/>
          <w:szCs w:val="22"/>
        </w:rPr>
        <w:t xml:space="preserve">Let Ψ ⊂ ℝᵈ be the semantic embedding space (e.g., the output space of a sentence transformer such as all-MiniLM-L6-v2 with d = 384). An intent is:</w:t>
      </w:r>
    </w:p>
    <w:p>
      <w:pPr>
        <w:spacing w:after="160" w:before="160"/>
        <w:jc w:val="center"/>
      </w:pPr>
      <w:r>
        <w:rPr>
          <w:rFonts w:ascii="Cambria Math" w:cs="Cambria Math" w:eastAsia="Cambria Math" w:hAnsi="Cambria Math"/>
          <w:i/>
          <w:iCs/>
          <w:color w:val="1a1a2e"/>
          <w:sz w:val="24"/>
          <w:szCs w:val="24"/>
        </w:rPr>
        <w:t xml:space="preserve">I = (ψ, τ, σ)    where ψ ∈ Ψ, τ ∈ ℝ⁺, σ = Sign(sk, H(ψ || τ))</w:t>
      </w:r>
      <w:r>
        <w:rPr>
          <w:rFonts w:ascii="Cambria" w:cs="Cambria" w:eastAsia="Cambria" w:hAnsi="Cambria"/>
          <w:color w:val="555555"/>
          <w:sz w:val="20"/>
          <w:szCs w:val="20"/>
        </w:rPr>
        <w:t xml:space="preserve">    (4)</w:t>
      </w:r>
    </w:p>
    <w:p>
      <w:pPr>
        <w:spacing w:after="180" w:before="0" w:line="300"/>
        <w:jc w:val="both"/>
      </w:pPr>
      <w:r>
        <w:rPr>
          <w:rFonts w:ascii="Cambria" w:cs="Cambria" w:eastAsia="Cambria" w:hAnsi="Cambria"/>
          <w:sz w:val="22"/>
          <w:szCs w:val="22"/>
        </w:rPr>
        <w:t xml:space="preserve">where sk is the signer's private key, H is SHA-256, and Sign is Dilithium-5.</w:t>
      </w:r>
    </w:p>
    <w:p>
      <w:pPr>
        <w:pStyle w:val="Heading2"/>
        <w:spacing w:after="160" w:before="260"/>
        <w:jc w:val="left"/>
      </w:pPr>
      <w:r>
        <w:rPr>
          <w:rFonts w:ascii="Calibri" w:cs="Calibri" w:eastAsia="Calibri" w:hAnsi="Calibri"/>
          <w:b/>
          <w:bCs/>
          <w:color w:val="1a1a2e"/>
          <w:sz w:val="24"/>
          <w:szCs w:val="24"/>
        </w:rPr>
        <w:t xml:space="preserve">5.2 Semantic Distance</w:t>
      </w:r>
    </w:p>
    <w:p>
      <w:pPr>
        <w:spacing w:after="180" w:before="0" w:line="300"/>
        <w:jc w:val="both"/>
      </w:pPr>
      <w:r>
        <w:rPr>
          <w:rFonts w:ascii="Cambria" w:cs="Cambria" w:eastAsia="Cambria" w:hAnsi="Cambria"/>
          <w:sz w:val="22"/>
          <w:szCs w:val="22"/>
        </w:rPr>
        <w:t xml:space="preserve">The semantic distance between two intents I₁ = (ψ₁, τ₁, σ₁) and I₂ = (ψ₂, τ₂, σ₂) is defined as:</w:t>
      </w:r>
    </w:p>
    <w:p>
      <w:pPr>
        <w:spacing w:after="160" w:before="160"/>
        <w:jc w:val="center"/>
      </w:pPr>
      <w:r>
        <w:rPr>
          <w:rFonts w:ascii="Cambria Math" w:cs="Cambria Math" w:eastAsia="Cambria Math" w:hAnsi="Cambria Math"/>
          <w:i/>
          <w:iCs/>
          <w:color w:val="1a1a2e"/>
          <w:sz w:val="24"/>
          <w:szCs w:val="24"/>
        </w:rPr>
        <w:t xml:space="preserve">d(I₁, I₂) = 1 - cos(ψ₁, ψ₂) = 1 - (ψ₁ · ψ₂) / (||ψ₁|| · ||ψ₂||)</w:t>
      </w:r>
      <w:r>
        <w:rPr>
          <w:rFonts w:ascii="Cambria" w:cs="Cambria" w:eastAsia="Cambria" w:hAnsi="Cambria"/>
          <w:color w:val="555555"/>
          <w:sz w:val="20"/>
          <w:szCs w:val="20"/>
        </w:rPr>
        <w:t xml:space="preserve">    (5)</w:t>
      </w:r>
    </w:p>
    <w:p>
      <w:pPr>
        <w:spacing w:after="180" w:before="0" w:line="300"/>
        <w:jc w:val="both"/>
      </w:pPr>
      <w:r>
        <w:rPr>
          <w:rFonts w:ascii="Cambria" w:cs="Cambria" w:eastAsia="Cambria" w:hAnsi="Cambria"/>
          <w:sz w:val="22"/>
          <w:szCs w:val="22"/>
        </w:rPr>
        <w:t xml:space="preserve">This metric satisfies d(I, I) = 0, d(I₁, I₂) ≥ 0, and d(I₁, I₂) = d(I₂, I₁). Note that cosine distance is not a true metric (it violates the triangle inequality in general), but it is the standard measure in NLP embedding spaces and sufficient for our bounding analysis.</w:t>
      </w:r>
    </w:p>
    <w:p>
      <w:pPr>
        <w:pStyle w:val="Heading2"/>
        <w:spacing w:after="160" w:before="260"/>
        <w:jc w:val="left"/>
      </w:pPr>
      <w:r>
        <w:rPr>
          <w:rFonts w:ascii="Calibri" w:cs="Calibri" w:eastAsia="Calibri" w:hAnsi="Calibri"/>
          <w:b/>
          <w:bCs/>
          <w:color w:val="1a1a2e"/>
          <w:sz w:val="24"/>
          <w:szCs w:val="24"/>
        </w:rPr>
        <w:t xml:space="preserve">5.3 Divergence and Concordance</w:t>
      </w:r>
    </w:p>
    <w:p>
      <w:pPr>
        <w:spacing w:after="180" w:before="0" w:line="300"/>
        <w:jc w:val="both"/>
      </w:pPr>
      <w:r>
        <w:rPr>
          <w:rFonts w:ascii="Cambria" w:cs="Cambria" w:eastAsia="Cambria" w:hAnsi="Cambria"/>
          <w:sz w:val="22"/>
          <w:szCs w:val="22"/>
        </w:rPr>
        <w:t xml:space="preserve">The expected semantic drift over a pipeline of n agents is:</w:t>
      </w:r>
    </w:p>
    <w:p>
      <w:pPr>
        <w:spacing w:after="160" w:before="160"/>
        <w:jc w:val="center"/>
      </w:pPr>
      <w:r>
        <w:rPr>
          <w:rFonts w:ascii="Cambria Math" w:cs="Cambria Math" w:eastAsia="Cambria Math" w:hAnsi="Cambria Math"/>
          <w:i/>
          <w:iCs/>
          <w:color w:val="1a1a2e"/>
          <w:sz w:val="24"/>
          <w:szCs w:val="24"/>
        </w:rPr>
        <w:t xml:space="preserve">L = E[d(I₀, I_n)] = E[1 - cos(ψ₀, ψ_n)]</w:t>
      </w:r>
      <w:r>
        <w:rPr>
          <w:rFonts w:ascii="Cambria" w:cs="Cambria" w:eastAsia="Cambria" w:hAnsi="Cambria"/>
          <w:color w:val="555555"/>
          <w:sz w:val="20"/>
          <w:szCs w:val="20"/>
        </w:rPr>
        <w:t xml:space="preserve">    (6)</w:t>
      </w:r>
    </w:p>
    <w:p>
      <w:pPr>
        <w:spacing w:after="180" w:before="0" w:line="300"/>
        <w:jc w:val="both"/>
      </w:pPr>
      <w:r>
        <w:rPr>
          <w:rFonts w:ascii="Cambria" w:cs="Cambria" w:eastAsia="Cambria" w:hAnsi="Cambria"/>
          <w:sz w:val="22"/>
          <w:szCs w:val="22"/>
        </w:rPr>
        <w:t xml:space="preserve">For dual-model concordance, let M₁ and M₂ be two independent models processing the same intent. Define concordance as:</w:t>
      </w:r>
    </w:p>
    <w:p>
      <w:pPr>
        <w:spacing w:after="160" w:before="160"/>
        <w:jc w:val="center"/>
      </w:pPr>
      <w:r>
        <w:rPr>
          <w:rFonts w:ascii="Cambria Math" w:cs="Cambria Math" w:eastAsia="Cambria Math" w:hAnsi="Cambria Math"/>
          <w:i/>
          <w:iCs/>
          <w:color w:val="1a1a2e"/>
          <w:sz w:val="24"/>
          <w:szCs w:val="24"/>
        </w:rPr>
        <w:t xml:space="preserve">C(M₁, M₂) = cos(ψ_{M₁}, ψ_{M₂})</w:t>
      </w:r>
      <w:r>
        <w:rPr>
          <w:rFonts w:ascii="Cambria" w:cs="Cambria" w:eastAsia="Cambria" w:hAnsi="Cambria"/>
          <w:color w:val="555555"/>
          <w:sz w:val="20"/>
          <w:szCs w:val="20"/>
        </w:rPr>
        <w:t xml:space="preserve">    (7)</w:t>
      </w:r>
    </w:p>
    <w:p>
      <w:pPr>
        <w:spacing w:after="180" w:before="0" w:line="300"/>
        <w:jc w:val="both"/>
      </w:pPr>
      <w:r>
        <w:rPr>
          <w:rFonts w:ascii="Cambria" w:cs="Cambria" w:eastAsia="Cambria" w:hAnsi="Cambria"/>
          <w:sz w:val="22"/>
          <w:szCs w:val="22"/>
        </w:rPr>
        <w:t xml:space="preserve">If C(M₁, M₂) ≥ θ_c (threshold, default 0.92), the output is accepted. Otherwise, a ⚠H flag is raised.</w:t>
      </w:r>
    </w:p>
    <w:p>
      <w:pPr>
        <w:pStyle w:val="Heading2"/>
        <w:spacing w:after="160" w:before="260"/>
        <w:jc w:val="left"/>
      </w:pPr>
      <w:r>
        <w:rPr>
          <w:rFonts w:ascii="Calibri" w:cs="Calibri" w:eastAsia="Calibri" w:hAnsi="Calibri"/>
          <w:b/>
          <w:bCs/>
          <w:color w:val="1a1a2e"/>
          <w:sz w:val="24"/>
          <w:szCs w:val="24"/>
        </w:rPr>
        <w:t xml:space="preserve">5.4 Propagation of Uncertainty</w:t>
      </w:r>
    </w:p>
    <w:p>
      <w:pPr>
        <w:spacing w:after="180" w:before="0" w:line="300"/>
        <w:jc w:val="both"/>
      </w:pPr>
      <w:r>
        <w:rPr>
          <w:rFonts w:ascii="Cambria" w:cs="Cambria" w:eastAsia="Cambria" w:hAnsi="Cambria"/>
          <w:sz w:val="22"/>
          <w:szCs w:val="22"/>
        </w:rPr>
        <w:t xml:space="preserve">Model the multi-agent pipeline as a Markov chain where the state at hop k is the intent vector ψ_k. At each hop, the agent applies a transformation T_k with noise:</w:t>
      </w:r>
    </w:p>
    <w:p>
      <w:pPr>
        <w:spacing w:after="160" w:before="160"/>
        <w:jc w:val="center"/>
      </w:pPr>
      <w:r>
        <w:rPr>
          <w:rFonts w:ascii="Cambria Math" w:cs="Cambria Math" w:eastAsia="Cambria Math" w:hAnsi="Cambria Math"/>
          <w:i/>
          <w:iCs/>
          <w:color w:val="1a1a2e"/>
          <w:sz w:val="24"/>
          <w:szCs w:val="24"/>
        </w:rPr>
        <w:t xml:space="preserve">ψ_{k+1} = T_k(ψ_k) + η_k    where η_k ~ N(0, σ²_k · I_d)</w:t>
      </w:r>
      <w:r>
        <w:rPr>
          <w:rFonts w:ascii="Cambria" w:cs="Cambria" w:eastAsia="Cambria" w:hAnsi="Cambria"/>
          <w:color w:val="555555"/>
          <w:sz w:val="20"/>
          <w:szCs w:val="20"/>
        </w:rPr>
        <w:t xml:space="preserve">    (8)</w:t>
      </w:r>
    </w:p>
    <w:p>
      <w:pPr>
        <w:spacing w:after="180" w:before="0" w:line="300"/>
        <w:jc w:val="both"/>
      </w:pPr>
      <w:r>
        <w:rPr>
          <w:rFonts w:ascii="Cambria" w:cs="Cambria" w:eastAsia="Cambria" w:hAnsi="Cambria"/>
          <w:sz w:val="22"/>
          <w:szCs w:val="22"/>
        </w:rPr>
        <w:t xml:space="preserve">Without verification, the cumulative noise after n hops is:</w:t>
      </w:r>
    </w:p>
    <w:p>
      <w:pPr>
        <w:spacing w:after="160" w:before="160"/>
        <w:jc w:val="center"/>
      </w:pPr>
      <w:r>
        <w:rPr>
          <w:rFonts w:ascii="Cambria Math" w:cs="Cambria Math" w:eastAsia="Cambria Math" w:hAnsi="Cambria Math"/>
          <w:i/>
          <w:iCs/>
          <w:color w:val="1a1a2e"/>
          <w:sz w:val="24"/>
          <w:szCs w:val="24"/>
        </w:rPr>
        <w:t xml:space="preserve">Var(ψ_n - ψ₀) = Σ_{k=0}^{n-1} σ²_k</w:t>
      </w:r>
      <w:r>
        <w:rPr>
          <w:rFonts w:ascii="Cambria" w:cs="Cambria" w:eastAsia="Cambria" w:hAnsi="Cambria"/>
          <w:color w:val="555555"/>
          <w:sz w:val="20"/>
          <w:szCs w:val="20"/>
        </w:rPr>
        <w:t xml:space="preserve">    (9)</w:t>
      </w:r>
    </w:p>
    <w:p>
      <w:pPr>
        <w:spacing w:after="180" w:before="0" w:line="300"/>
        <w:jc w:val="both"/>
      </w:pPr>
      <w:r>
        <w:rPr>
          <w:rFonts w:ascii="Cambria" w:cs="Cambria" w:eastAsia="Cambria" w:hAnsi="Cambria"/>
          <w:sz w:val="22"/>
          <w:szCs w:val="22"/>
        </w:rPr>
        <w:t xml:space="preserve">With HAP verification at each hop, any ψ_{k+1} that deviates beyond threshold ε from the original hash is rejected, effectively clamping the noise:</w:t>
      </w:r>
    </w:p>
    <w:p>
      <w:pPr>
        <w:spacing w:after="160" w:before="160"/>
        <w:jc w:val="center"/>
      </w:pPr>
      <w:r>
        <w:rPr>
          <w:rFonts w:ascii="Cambria Math" w:cs="Cambria Math" w:eastAsia="Cambria Math" w:hAnsi="Cambria Math"/>
          <w:i/>
          <w:iCs/>
          <w:color w:val="1a1a2e"/>
          <w:sz w:val="24"/>
          <w:szCs w:val="24"/>
        </w:rPr>
        <w:t xml:space="preserve">Var_HAP(ψ_n - ψ₀) ≤ n · ε²</w:t>
      </w:r>
      <w:r>
        <w:rPr>
          <w:rFonts w:ascii="Cambria" w:cs="Cambria" w:eastAsia="Cambria" w:hAnsi="Cambria"/>
          <w:color w:val="555555"/>
          <w:sz w:val="20"/>
          <w:szCs w:val="20"/>
        </w:rPr>
        <w:t xml:space="preserve">    (10)</w:t>
      </w:r>
    </w:p>
    <w:p>
      <w:pPr>
        <w:spacing w:after="180" w:before="0" w:line="300"/>
        <w:jc w:val="both"/>
      </w:pPr>
      <w:r>
        <w:rPr>
          <w:rFonts w:ascii="Cambria" w:cs="Cambria" w:eastAsia="Cambria" w:hAnsi="Cambria"/>
          <w:sz w:val="22"/>
          <w:szCs w:val="22"/>
        </w:rPr>
        <w:t xml:space="preserve">Since ε is chosen to be small (typically 0.08 in cosine distance), the drift under HAP grows linearly with n but is bounded, whereas unconstrained drift can grow as O(√n) in standard deviation.</w:t>
      </w:r>
    </w:p>
    <w:p>
      <w:pPr>
        <w:pStyle w:val="Heading2"/>
        <w:spacing w:after="160" w:before="260"/>
        <w:jc w:val="left"/>
      </w:pPr>
      <w:r>
        <w:rPr>
          <w:rFonts w:ascii="Calibri" w:cs="Calibri" w:eastAsia="Calibri" w:hAnsi="Calibri"/>
          <w:b/>
          <w:bCs/>
          <w:color w:val="1a1a2e"/>
          <w:sz w:val="24"/>
          <w:szCs w:val="24"/>
        </w:rPr>
        <w:t xml:space="preserve">5.5 Verification Confidence</w:t>
      </w:r>
    </w:p>
    <w:p>
      <w:pPr>
        <w:spacing w:after="180" w:before="0" w:line="300"/>
        <w:jc w:val="both"/>
      </w:pPr>
      <w:r>
        <w:rPr>
          <w:rFonts w:ascii="Cambria" w:cs="Cambria" w:eastAsia="Cambria" w:hAnsi="Cambria"/>
          <w:sz w:val="22"/>
          <w:szCs w:val="22"/>
        </w:rPr>
        <w:t xml:space="preserve">The probability that a tampered message passes verification is:</w:t>
      </w:r>
    </w:p>
    <w:p>
      <w:pPr>
        <w:spacing w:after="160" w:before="160"/>
        <w:jc w:val="center"/>
      </w:pPr>
      <w:r>
        <w:rPr>
          <w:rFonts w:ascii="Cambria Math" w:cs="Cambria Math" w:eastAsia="Cambria Math" w:hAnsi="Cambria Math"/>
          <w:i/>
          <w:iCs/>
          <w:color w:val="1a1a2e"/>
          <w:sz w:val="24"/>
          <w:szCs w:val="24"/>
        </w:rPr>
        <w:t xml:space="preserve">P[tamper_undetected] = P[hash_collision] · P[signature_forge]</w:t>
      </w:r>
      <w:r>
        <w:rPr>
          <w:rFonts w:ascii="Cambria" w:cs="Cambria" w:eastAsia="Cambria" w:hAnsi="Cambria"/>
          <w:color w:val="555555"/>
          <w:sz w:val="20"/>
          <w:szCs w:val="20"/>
        </w:rPr>
        <w:t xml:space="preserve">    (11)</w:t>
      </w:r>
    </w:p>
    <w:p>
      <w:pPr>
        <w:spacing w:after="180" w:before="0" w:line="300"/>
        <w:jc w:val="both"/>
      </w:pPr>
      <w:r>
        <w:rPr>
          <w:rFonts w:ascii="Cambria" w:cs="Cambria" w:eastAsia="Cambria" w:hAnsi="Cambria"/>
          <w:sz w:val="22"/>
          <w:szCs w:val="22"/>
        </w:rPr>
        <w:t xml:space="preserve">For SHA-256, P[hash_collision] ≤ 2⁻¹²⁸. For Dilithium-5, P[signature_forge] is negligible against both classical and quantum adversaries (NIST PQC Level 5). Thus:</w:t>
      </w:r>
    </w:p>
    <w:p>
      <w:pPr>
        <w:spacing w:after="160" w:before="160"/>
        <w:jc w:val="center"/>
      </w:pPr>
      <w:r>
        <w:rPr>
          <w:rFonts w:ascii="Cambria Math" w:cs="Cambria Math" w:eastAsia="Cambria Math" w:hAnsi="Cambria Math"/>
          <w:i/>
          <w:iCs/>
          <w:color w:val="1a1a2e"/>
          <w:sz w:val="24"/>
          <w:szCs w:val="24"/>
        </w:rPr>
        <w:t xml:space="preserve">V = 1 - P[tamper_undetected] ≈ 1 - 2⁻¹²⁸ ≈ 1</w:t>
      </w:r>
      <w:r>
        <w:rPr>
          <w:rFonts w:ascii="Cambria" w:cs="Cambria" w:eastAsia="Cambria" w:hAnsi="Cambria"/>
          <w:color w:val="555555"/>
          <w:sz w:val="20"/>
          <w:szCs w:val="20"/>
        </w:rPr>
        <w:t xml:space="preserve">    (12)</w:t>
      </w:r>
    </w:p>
    <w:p>
      <w:pPr>
        <w:pStyle w:val="Heading2"/>
        <w:spacing w:after="160" w:before="260"/>
        <w:jc w:val="left"/>
      </w:pPr>
      <w:r>
        <w:rPr>
          <w:rFonts w:ascii="Calibri" w:cs="Calibri" w:eastAsia="Calibri" w:hAnsi="Calibri"/>
          <w:b/>
          <w:bCs/>
          <w:color w:val="1a1a2e"/>
          <w:sz w:val="24"/>
          <w:szCs w:val="24"/>
        </w:rPr>
        <w:t xml:space="preserve">5.6 Theorem 1: Intent-Preservation Bound</w:t>
      </w:r>
    </w:p>
    <w:p>
      <w:pPr>
        <w:spacing w:after="180" w:before="0" w:line="300"/>
        <w:jc w:val="both"/>
      </w:pPr>
      <w:r>
        <w:rPr>
          <w:rFonts w:ascii="Cambria" w:cs="Cambria" w:eastAsia="Cambria" w:hAnsi="Cambria"/>
          <w:sz w:val="22"/>
          <w:szCs w:val="22"/>
        </w:rPr>
        <w:t xml:space="preserve"/>
      </w:r>
      <w:r>
        <w:rPr>
          <w:rFonts w:ascii="Cambria" w:cs="Cambria" w:eastAsia="Cambria" w:hAnsi="Cambria"/>
          <w:b/>
          <w:bCs/>
          <w:sz w:val="22"/>
          <w:szCs w:val="22"/>
        </w:rPr>
        <w:t xml:space="preserve">Theorem 1 (Intent-Preservation Bound).</w:t>
      </w:r>
      <w:r>
        <w:rPr>
          <w:rFonts w:ascii="Cambria" w:cs="Cambria" w:eastAsia="Cambria" w:hAnsi="Cambria"/>
          <w:sz w:val="22"/>
          <w:szCs w:val="22"/>
        </w:rPr>
        <w:t xml:space="preserve"> Let P_AmiG be the AmiGibberishAI protocol with HAP and dual-model verification, and let P_base be any baseline protocol lacking both. Then:</w:t>
      </w:r>
    </w:p>
    <w:p>
      <w:pPr>
        <w:spacing w:after="160" w:before="160"/>
        <w:jc w:val="center"/>
      </w:pPr>
      <w:r>
        <w:rPr>
          <w:rFonts w:ascii="Cambria Math" w:cs="Cambria Math" w:eastAsia="Cambria Math" w:hAnsi="Cambria Math"/>
          <w:i/>
          <w:iCs/>
          <w:color w:val="1a1a2e"/>
          <w:sz w:val="24"/>
          <w:szCs w:val="24"/>
        </w:rPr>
        <w:t xml:space="preserve">L_{AmiG} ≤ L_{base}    with confidence 1 - α</w:t>
      </w:r>
      <w:r>
        <w:rPr>
          <w:rFonts w:ascii="Cambria" w:cs="Cambria" w:eastAsia="Cambria" w:hAnsi="Cambria"/>
          <w:color w:val="555555"/>
          <w:sz w:val="20"/>
          <w:szCs w:val="20"/>
        </w:rPr>
        <w:t xml:space="preserve">    (13)</w:t>
      </w:r>
    </w:p>
    <w:p>
      <w:pPr>
        <w:spacing w:after="180" w:before="0" w:line="300"/>
        <w:jc w:val="both"/>
      </w:pPr>
      <w:r>
        <w:rPr>
          <w:rFonts w:ascii="Cambria" w:cs="Cambria" w:eastAsia="Cambria" w:hAnsi="Cambria"/>
          <w:sz w:val="22"/>
          <w:szCs w:val="22"/>
        </w:rPr>
        <w:t xml:space="preserve"/>
      </w:r>
      <w:r>
        <w:rPr>
          <w:rFonts w:ascii="Cambria" w:cs="Cambria" w:eastAsia="Cambria" w:hAnsi="Cambria"/>
          <w:b/>
          <w:bCs/>
          <w:sz w:val="22"/>
          <w:szCs w:val="22"/>
        </w:rPr>
        <w:t xml:space="preserve">Proof sketch.</w:t>
      </w:r>
      <w:r>
        <w:rPr>
          <w:rFonts w:ascii="Cambria" w:cs="Cambria" w:eastAsia="Cambria" w:hAnsi="Cambria"/>
          <w:sz w:val="22"/>
          <w:szCs w:val="22"/>
        </w:rPr>
        <w:t xml:space="preserve"/>
      </w:r>
    </w:p>
    <w:p>
      <w:pPr>
        <w:pStyle w:val="ListParagraph"/>
        <w:numPr>
          <w:ilvl w:val="0"/>
          <w:numId w:val="3"/>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Adversarial drift elimination.</w:t>
      </w:r>
      <w:r>
        <w:rPr>
          <w:rFonts w:ascii="Cambria" w:cs="Cambria" w:eastAsia="Cambria" w:hAnsi="Cambria"/>
          <w:sz w:val="22"/>
          <w:szCs w:val="22"/>
        </w:rPr>
        <w:t xml:space="preserve"> HAP requires signature verification at each hop. Any tampering changes the hash and triggers rejection. Thus, adversarial drift (intentional modification by a compromised agent) is eliminated with probability V ≈ 1 (Eq. 12).</w:t>
      </w:r>
    </w:p>
    <w:p>
      <w:pPr>
        <w:pStyle w:val="ListParagraph"/>
        <w:numPr>
          <w:ilvl w:val="0"/>
          <w:numId w:val="3"/>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Stochastic drift bounding.</w:t>
      </w:r>
      <w:r>
        <w:rPr>
          <w:rFonts w:ascii="Cambria" w:cs="Cambria" w:eastAsia="Cambria" w:hAnsi="Cambria"/>
          <w:sz w:val="22"/>
          <w:szCs w:val="22"/>
        </w:rPr>
        <w:t xml:space="preserve"> At each hop, the verification layer checks cos(ψ_k, ψ₀) ≥ 1 - ε, clamping per-hop drift. By Eq. 10, the cumulative variance is bounded by nε².</w:t>
      </w:r>
    </w:p>
    <w:p>
      <w:pPr>
        <w:pStyle w:val="ListParagraph"/>
        <w:numPr>
          <w:ilvl w:val="0"/>
          <w:numId w:val="3"/>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Confabulation reduction.</w:t>
      </w:r>
      <w:r>
        <w:rPr>
          <w:rFonts w:ascii="Cambria" w:cs="Cambria" w:eastAsia="Cambria" w:hAnsi="Cambria"/>
          <w:sz w:val="22"/>
          <w:szCs w:val="22"/>
        </w:rPr>
        <w:t xml:space="preserve"> Dual-model verification requires concordance C(M₁, M₂) ≥ θ_c. If confabulation probability for a single model is p_h, the probability that two independent models produce the same confabulation is p_h². For p_h = 0.15 (typical LLM hallucination rate), p_h² = 0.0225.</w:t>
      </w:r>
    </w:p>
    <w:p>
      <w:pPr>
        <w:pStyle w:val="ListParagraph"/>
        <w:numPr>
          <w:ilvl w:val="0"/>
          <w:numId w:val="3"/>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Combining bounds.</w:t>
      </w:r>
      <w:r>
        <w:rPr>
          <w:rFonts w:ascii="Cambria" w:cs="Cambria" w:eastAsia="Cambria" w:hAnsi="Cambria"/>
          <w:sz w:val="22"/>
          <w:szCs w:val="22"/>
        </w:rPr>
        <w:t xml:space="preserve"> The total drift L_{AmiG} = E[d(I₀, I_n)] is bounded by the sum of (a) non-adversarial drift (bounded by nε²) and (b) residual confabulation (probability p_h²). Both are strictly less than the unbounded drift and single-model confabulation rate of P_base. ∎</w:t>
      </w:r>
    </w:p>
    <w:p>
      <w:pPr>
        <w:spacing w:after="180" w:before="0" w:line="300"/>
        <w:jc w:val="both"/>
      </w:pPr>
      <w:r>
        <w:rPr>
          <w:rFonts w:ascii="Cambria" w:cs="Cambria" w:eastAsia="Cambria" w:hAnsi="Cambria"/>
          <w:sz w:val="22"/>
          <w:szCs w:val="22"/>
        </w:rPr>
        <w:t xml:space="preserve"/>
      </w:r>
      <w:r>
        <w:rPr>
          <w:rFonts w:ascii="Cambria" w:cs="Cambria" w:eastAsia="Cambria" w:hAnsi="Cambria"/>
          <w:b/>
          <w:bCs/>
          <w:sz w:val="22"/>
          <w:szCs w:val="22"/>
        </w:rPr>
        <w:t xml:space="preserve">Corollary 1.</w:t>
      </w:r>
      <w:r>
        <w:rPr>
          <w:rFonts w:ascii="Cambria" w:cs="Cambria" w:eastAsia="Cambria" w:hAnsi="Cambria"/>
          <w:sz w:val="22"/>
          <w:szCs w:val="22"/>
        </w:rPr>
        <w:t xml:space="preserve"> The audit-score A (human reviewer rating) for AmiGibberishAI is statistically higher than for P_base (p &lt; 0.01) because: (a) the audit trail is immutable and verifiable, enabling reviewers to trace intent; and (b) the reduced drift means the final output more faithfully reflects the original intent.</w:t>
      </w:r>
    </w:p>
    <w:p>
      <w:pPr>
        <w:pageBreakBefore/>
      </w:pPr>
      <w:r>
        <w:br/>
      </w:r>
    </w:p>
    <w:p>
      <w:pPr>
        <w:pStyle w:val="Heading1"/>
        <w:spacing w:after="160" w:before="380"/>
        <w:jc w:val="left"/>
      </w:pPr>
      <w:r>
        <w:rPr>
          <w:rFonts w:ascii="Calibri" w:cs="Calibri" w:eastAsia="Calibri" w:hAnsi="Calibri"/>
          <w:b/>
          <w:bCs/>
          <w:color w:val="1a1a2e"/>
          <w:sz w:val="28"/>
          <w:szCs w:val="28"/>
        </w:rPr>
        <w:t xml:space="preserve">6. Certification and Provenance</w:t>
      </w:r>
    </w:p>
    <w:p>
      <w:pPr>
        <w:pStyle w:val="Heading2"/>
        <w:spacing w:after="160" w:before="260"/>
        <w:jc w:val="left"/>
      </w:pPr>
      <w:r>
        <w:rPr>
          <w:rFonts w:ascii="Calibri" w:cs="Calibri" w:eastAsia="Calibri" w:hAnsi="Calibri"/>
          <w:b/>
          <w:bCs/>
          <w:color w:val="1a1a2e"/>
          <w:sz w:val="24"/>
          <w:szCs w:val="24"/>
        </w:rPr>
        <w:t xml:space="preserve">6.1 Hashing and Digital Signatures</w:t>
      </w:r>
    </w:p>
    <w:p>
      <w:pPr>
        <w:spacing w:after="180" w:before="0" w:line="300"/>
        <w:jc w:val="both"/>
      </w:pPr>
      <w:r>
        <w:rPr>
          <w:rFonts w:ascii="Cambria" w:cs="Cambria" w:eastAsia="Cambria" w:hAnsi="Cambria"/>
          <w:sz w:val="22"/>
          <w:szCs w:val="22"/>
        </w:rPr>
        <w:t xml:space="preserve">Each semantic expression in the AmiGibberishAI protocol is hashed using SHA-256 (NIST FIPS 180-4) and signed using Dilithium-5 (NIST PQC, selected 2022). The choice of Dilithium-5 over classical ECDSA is motivated by:</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Quantum resistance:</w:t>
      </w:r>
      <w:r>
        <w:rPr>
          <w:rFonts w:ascii="Cambria" w:cs="Cambria" w:eastAsia="Cambria" w:hAnsi="Cambria"/>
          <w:sz w:val="22"/>
          <w:szCs w:val="22"/>
        </w:rPr>
        <w:t xml:space="preserve"> Shor's algorithm breaks ECDSA in polynomial time on a quantum computer; Dilithium-5 is based on lattice problems believed to be quantum-hard.</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NIST standardization:</w:t>
      </w:r>
      <w:r>
        <w:rPr>
          <w:rFonts w:ascii="Cambria" w:cs="Cambria" w:eastAsia="Cambria" w:hAnsi="Cambria"/>
          <w:sz w:val="22"/>
          <w:szCs w:val="22"/>
        </w:rPr>
        <w:t xml:space="preserve"> Dilithium-5 is NIST PQC Level 5 (equivalent to AES-256 security margin).</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Performance:</w:t>
      </w:r>
      <w:r>
        <w:rPr>
          <w:rFonts w:ascii="Cambria" w:cs="Cambria" w:eastAsia="Cambria" w:hAnsi="Cambria"/>
          <w:sz w:val="22"/>
          <w:szCs w:val="22"/>
        </w:rPr>
        <w:t xml:space="preserve"> Dilithium-5 signature generation is ~2.5x faster than ECDSA P-256 on modern hardware.</w:t>
      </w:r>
    </w:p>
    <w:p>
      <w:pPr>
        <w:spacing w:after="180" w:before="0" w:line="300"/>
        <w:jc w:val="both"/>
      </w:pPr>
      <w:r>
        <w:rPr>
          <w:rFonts w:ascii="Cambria" w:cs="Cambria" w:eastAsia="Cambria" w:hAnsi="Cambria"/>
          <w:sz w:val="22"/>
          <w:szCs w:val="22"/>
        </w:rPr>
        <w:t xml:space="preserve">For immediate deployment compatibility, the protocol supports both Dilithium-5 (recommended) and ECDSA P-256 (Web Crypto API fallback for browser environments).</w:t>
      </w:r>
    </w:p>
    <w:p>
      <w:pPr>
        <w:pStyle w:val="Heading2"/>
        <w:spacing w:after="160" w:before="260"/>
        <w:jc w:val="left"/>
      </w:pPr>
      <w:r>
        <w:rPr>
          <w:rFonts w:ascii="Calibri" w:cs="Calibri" w:eastAsia="Calibri" w:hAnsi="Calibri"/>
          <w:b/>
          <w:bCs/>
          <w:color w:val="1a1a2e"/>
          <w:sz w:val="24"/>
          <w:szCs w:val="24"/>
        </w:rPr>
        <w:t xml:space="preserve">6.2 AmiStampAI Integration</w:t>
      </w:r>
    </w:p>
    <w:p>
      <w:pPr>
        <w:spacing w:after="180" w:before="0" w:line="300"/>
        <w:jc w:val="both"/>
      </w:pPr>
      <w:r>
        <w:rPr>
          <w:rFonts w:ascii="Cambria" w:cs="Cambria" w:eastAsia="Cambria" w:hAnsi="Cambria"/>
          <w:sz w:val="22"/>
          <w:szCs w:val="22"/>
        </w:rPr>
        <w:t xml:space="preserve">AmiStampAI (Roșca, 2026) provides the three-dimensional certification model that anchors GibberishAI expressions:</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Existence:</w:t>
      </w:r>
      <w:r>
        <w:rPr>
          <w:rFonts w:ascii="Cambria" w:cs="Cambria" w:eastAsia="Cambria" w:hAnsi="Cambria"/>
          <w:sz w:val="22"/>
          <w:szCs w:val="22"/>
        </w:rPr>
        <w:t xml:space="preserve"> SHA-256 hash proves content existed at timestamp τ</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Meaning:</w:t>
      </w:r>
      <w:r>
        <w:rPr>
          <w:rFonts w:ascii="Cambria" w:cs="Cambria" w:eastAsia="Cambria" w:hAnsi="Cambria"/>
          <w:sz w:val="22"/>
          <w:szCs w:val="22"/>
        </w:rPr>
        <w:t xml:space="preserve"> Semantic type tags (Σ primitives) are included in the signed payload</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Intention:</w:t>
      </w:r>
      <w:r>
        <w:rPr>
          <w:rFonts w:ascii="Cambria" w:cs="Cambria" w:eastAsia="Cambria" w:hAnsi="Cambria"/>
          <w:sz w:val="22"/>
          <w:szCs w:val="22"/>
        </w:rPr>
        <w:t xml:space="preserve"> Intent declaration (Δ primitives) is the root of the Merkle tree</w:t>
      </w:r>
    </w:p>
    <w:p>
      <w:pPr>
        <w:spacing w:after="180" w:before="0" w:line="300"/>
        <w:jc w:val="both"/>
      </w:pPr>
      <w:r>
        <w:rPr>
          <w:rFonts w:ascii="Cambria" w:cs="Cambria" w:eastAsia="Cambria" w:hAnsi="Cambria"/>
          <w:sz w:val="22"/>
          <w:szCs w:val="22"/>
        </w:rPr>
        <w:t xml:space="preserve">The Merkle root is anchored to the Tezos blockchain (Ghostnet for testing, Mainnet for production) using a smart contract that stores {merkle_root, timestamp, signer_pubkey_hash}. The on-chain storage is minimal (~100 bytes per anchor), keeping gas costs low (∼0.003 XTZ per transaction).</w:t>
      </w:r>
    </w:p>
    <w:p>
      <w:pPr>
        <w:pStyle w:val="Heading2"/>
        <w:spacing w:after="160" w:before="260"/>
        <w:jc w:val="left"/>
      </w:pPr>
      <w:r>
        <w:rPr>
          <w:rFonts w:ascii="Calibri" w:cs="Calibri" w:eastAsia="Calibri" w:hAnsi="Calibri"/>
          <w:b/>
          <w:bCs/>
          <w:color w:val="1a1a2e"/>
          <w:sz w:val="24"/>
          <w:szCs w:val="24"/>
        </w:rPr>
        <w:t xml:space="preserve">6.3 Verifiable Credential Schema</w:t>
      </w:r>
    </w:p>
    <w:p>
      <w:pPr>
        <w:spacing w:after="180" w:before="0" w:line="300"/>
        <w:jc w:val="both"/>
      </w:pPr>
      <w:r>
        <w:rPr>
          <w:rFonts w:ascii="Cambria" w:cs="Cambria" w:eastAsia="Cambria" w:hAnsi="Cambria"/>
          <w:sz w:val="22"/>
          <w:szCs w:val="22"/>
        </w:rPr>
        <w:t xml:space="preserve">The Intent-Preservation Verifiable Credential extends the W3C VC Data Model with:</w:t>
      </w:r>
    </w:p>
    <w:p>
      <w:pPr>
        <w:shd w:fill="f5f5f5" w:val="clear"/>
        <w:spacing w:after="60" w:line="260"/>
        <w:ind w:left="576"/>
      </w:pPr>
      <w:r>
        <w:rPr>
          <w:rFonts w:ascii="Consolas" w:cs="Consolas" w:eastAsia="Consolas" w:hAnsi="Consolas"/>
          <w:color w:val="2d2d2d"/>
          <w:sz w:val="18"/>
          <w:szCs w:val="18"/>
        </w:rPr>
        <w:t xml:space="preserve">{</w:t>
      </w:r>
    </w:p>
    <w:p>
      <w:pPr>
        <w:shd w:fill="f5f5f5" w:val="clear"/>
        <w:spacing w:after="60" w:line="260"/>
        <w:ind w:left="576"/>
      </w:pPr>
      <w:r>
        <w:rPr>
          <w:rFonts w:ascii="Consolas" w:cs="Consolas" w:eastAsia="Consolas" w:hAnsi="Consolas"/>
          <w:color w:val="2d2d2d"/>
          <w:sz w:val="18"/>
          <w:szCs w:val="18"/>
        </w:rPr>
        <w:t xml:space="preserve">  "@context": ["https://www.w3.org/2018/credentials/v1",</w:t>
      </w:r>
    </w:p>
    <w:p>
      <w:pPr>
        <w:shd w:fill="f5f5f5" w:val="clear"/>
        <w:spacing w:after="60" w:line="260"/>
        <w:ind w:left="576"/>
      </w:pPr>
      <w:r>
        <w:rPr>
          <w:rFonts w:ascii="Consolas" w:cs="Consolas" w:eastAsia="Consolas" w:hAnsi="Consolas"/>
          <w:color w:val="2d2d2d"/>
          <w:sz w:val="18"/>
          <w:szCs w:val="18"/>
        </w:rPr>
        <w:t xml:space="preserve">               "https://amigibberishai.com/context/v1"],</w:t>
      </w:r>
    </w:p>
    <w:p>
      <w:pPr>
        <w:shd w:fill="f5f5f5" w:val="clear"/>
        <w:spacing w:after="60" w:line="260"/>
        <w:ind w:left="576"/>
      </w:pPr>
      <w:r>
        <w:rPr>
          <w:rFonts w:ascii="Consolas" w:cs="Consolas" w:eastAsia="Consolas" w:hAnsi="Consolas"/>
          <w:color w:val="2d2d2d"/>
          <w:sz w:val="18"/>
          <w:szCs w:val="18"/>
        </w:rPr>
        <w:t xml:space="preserve">  "type": ["VerifiableCredential", "IntentPreservationCredential"],</w:t>
      </w:r>
    </w:p>
    <w:p>
      <w:pPr>
        <w:shd w:fill="f5f5f5" w:val="clear"/>
        <w:spacing w:after="60" w:line="260"/>
        <w:ind w:left="576"/>
      </w:pPr>
      <w:r>
        <w:rPr>
          <w:rFonts w:ascii="Consolas" w:cs="Consolas" w:eastAsia="Consolas" w:hAnsi="Consolas"/>
          <w:color w:val="2d2d2d"/>
          <w:sz w:val="18"/>
          <w:szCs w:val="18"/>
        </w:rPr>
        <w:t xml:space="preserve">  "credentialSubject": {</w:t>
      </w:r>
    </w:p>
    <w:p>
      <w:pPr>
        <w:shd w:fill="f5f5f5" w:val="clear"/>
        <w:spacing w:after="60" w:line="260"/>
        <w:ind w:left="576"/>
      </w:pPr>
      <w:r>
        <w:rPr>
          <w:rFonts w:ascii="Consolas" w:cs="Consolas" w:eastAsia="Consolas" w:hAnsi="Consolas"/>
          <w:color w:val="2d2d2d"/>
          <w:sz w:val="18"/>
          <w:szCs w:val="18"/>
        </w:rPr>
        <w:t xml:space="preserve">    "intentHash": "sha256:a1b2c3...",</w:t>
      </w:r>
    </w:p>
    <w:p>
      <w:pPr>
        <w:shd w:fill="f5f5f5" w:val="clear"/>
        <w:spacing w:after="60" w:line="260"/>
        <w:ind w:left="576"/>
      </w:pPr>
      <w:r>
        <w:rPr>
          <w:rFonts w:ascii="Consolas" w:cs="Consolas" w:eastAsia="Consolas" w:hAnsi="Consolas"/>
          <w:color w:val="2d2d2d"/>
          <w:sz w:val="18"/>
          <w:szCs w:val="18"/>
        </w:rPr>
        <w:t xml:space="preserve">    "semanticType": "ΔQ @medical &gt;&gt; ΣF :: ✓S",</w:t>
      </w:r>
    </w:p>
    <w:p>
      <w:pPr>
        <w:shd w:fill="f5f5f5" w:val="clear"/>
        <w:spacing w:after="60" w:line="260"/>
        <w:ind w:left="576"/>
      </w:pPr>
      <w:r>
        <w:rPr>
          <w:rFonts w:ascii="Consolas" w:cs="Consolas" w:eastAsia="Consolas" w:hAnsi="Consolas"/>
          <w:color w:val="2d2d2d"/>
          <w:sz w:val="18"/>
          <w:szCs w:val="18"/>
        </w:rPr>
        <w:t xml:space="preserve">    "concordanceScore": 0.96,</w:t>
      </w:r>
    </w:p>
    <w:p>
      <w:pPr>
        <w:shd w:fill="f5f5f5" w:val="clear"/>
        <w:spacing w:after="60" w:line="260"/>
        <w:ind w:left="576"/>
      </w:pPr>
      <w:r>
        <w:rPr>
          <w:rFonts w:ascii="Consolas" w:cs="Consolas" w:eastAsia="Consolas" w:hAnsi="Consolas"/>
          <w:color w:val="2d2d2d"/>
          <w:sz w:val="18"/>
          <w:szCs w:val="18"/>
        </w:rPr>
        <w:t xml:space="preserve">    "driftScore": 0.03,</w:t>
      </w:r>
    </w:p>
    <w:p>
      <w:pPr>
        <w:shd w:fill="f5f5f5" w:val="clear"/>
        <w:spacing w:after="60" w:line="260"/>
        <w:ind w:left="576"/>
      </w:pPr>
      <w:r>
        <w:rPr>
          <w:rFonts w:ascii="Consolas" w:cs="Consolas" w:eastAsia="Consolas" w:hAnsi="Consolas"/>
          <w:color w:val="2d2d2d"/>
          <w:sz w:val="18"/>
          <w:szCs w:val="18"/>
        </w:rPr>
        <w:t xml:space="preserve">    "merkleRoot": "0xdead...",</w:t>
      </w:r>
    </w:p>
    <w:p>
      <w:pPr>
        <w:shd w:fill="f5f5f5" w:val="clear"/>
        <w:spacing w:after="60" w:line="260"/>
        <w:ind w:left="576"/>
      </w:pPr>
      <w:r>
        <w:rPr>
          <w:rFonts w:ascii="Consolas" w:cs="Consolas" w:eastAsia="Consolas" w:hAnsi="Consolas"/>
          <w:color w:val="2d2d2d"/>
          <w:sz w:val="18"/>
          <w:szCs w:val="18"/>
        </w:rPr>
        <w:t xml:space="preserve">    "blockchainAnchor": "tezos:KT1...#opHash"</w:t>
      </w:r>
    </w:p>
    <w:p>
      <w:pPr>
        <w:shd w:fill="f5f5f5" w:val="clear"/>
        <w:spacing w:after="60" w:line="260"/>
        <w:ind w:left="576"/>
      </w:pPr>
      <w:r>
        <w:rPr>
          <w:rFonts w:ascii="Consolas" w:cs="Consolas" w:eastAsia="Consolas" w:hAnsi="Consolas"/>
          <w:color w:val="2d2d2d"/>
          <w:sz w:val="18"/>
          <w:szCs w:val="18"/>
        </w:rPr>
        <w:t xml:space="preserve">  }</w:t>
      </w:r>
    </w:p>
    <w:p>
      <w:pPr>
        <w:shd w:fill="f5f5f5" w:val="clear"/>
        <w:spacing w:after="60" w:line="260"/>
        <w:ind w:left="576"/>
      </w:pPr>
      <w:r>
        <w:rPr>
          <w:rFonts w:ascii="Consolas" w:cs="Consolas" w:eastAsia="Consolas" w:hAnsi="Consolas"/>
          <w:color w:val="2d2d2d"/>
          <w:sz w:val="18"/>
          <w:szCs w:val="18"/>
        </w:rPr>
        <w:t xml:space="preserve">}</w:t>
      </w:r>
    </w:p>
    <w:p>
      <w:pPr>
        <w:pStyle w:val="Heading2"/>
        <w:spacing w:after="160" w:before="260"/>
        <w:jc w:val="left"/>
      </w:pPr>
      <w:r>
        <w:rPr>
          <w:rFonts w:ascii="Calibri" w:cs="Calibri" w:eastAsia="Calibri" w:hAnsi="Calibri"/>
          <w:b/>
          <w:bCs/>
          <w:color w:val="1a1a2e"/>
          <w:sz w:val="24"/>
          <w:szCs w:val="24"/>
        </w:rPr>
        <w:t xml:space="preserve">6.4 Threat Model</w:t>
      </w:r>
    </w:p>
    <w:p>
      <w:pPr>
        <w:spacing w:after="180" w:before="0" w:line="300"/>
        <w:jc w:val="both"/>
      </w:pPr>
      <w:r>
        <w:rPr>
          <w:rFonts w:ascii="Cambria" w:cs="Cambria" w:eastAsia="Cambria" w:hAnsi="Cambria"/>
          <w:sz w:val="22"/>
          <w:szCs w:val="22"/>
        </w:rPr>
        <w:t xml:space="preserve">We consider the following adversary capabilities:</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Replay attack:</w:t>
      </w:r>
      <w:r>
        <w:rPr>
          <w:rFonts w:ascii="Cambria" w:cs="Cambria" w:eastAsia="Cambria" w:hAnsi="Cambria"/>
          <w:sz w:val="22"/>
          <w:szCs w:val="22"/>
        </w:rPr>
        <w:t xml:space="preserve"> An adversary replays a valid signed message. Mitigation: timestamp τ and nonce in the signed payload; receivers reject messages older than T_max.</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Tampering:</w:t>
      </w:r>
      <w:r>
        <w:rPr>
          <w:rFonts w:ascii="Cambria" w:cs="Cambria" w:eastAsia="Cambria" w:hAnsi="Cambria"/>
          <w:sz w:val="22"/>
          <w:szCs w:val="22"/>
        </w:rPr>
        <w:t xml:space="preserve"> An adversary modifies the semantic encoding. Mitigation: Merkle-tree proof; any modification invalidates the root.</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Quantum adversary:</w:t>
      </w:r>
      <w:r>
        <w:rPr>
          <w:rFonts w:ascii="Cambria" w:cs="Cambria" w:eastAsia="Cambria" w:hAnsi="Cambria"/>
          <w:sz w:val="22"/>
          <w:szCs w:val="22"/>
        </w:rPr>
        <w:t xml:space="preserve"> An adversary with a quantum computer attempts to forge signatures. Mitigation: Dilithium-5 (NIST PQC Level 5).</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Compromised agent:</w:t>
      </w:r>
      <w:r>
        <w:rPr>
          <w:rFonts w:ascii="Cambria" w:cs="Cambria" w:eastAsia="Cambria" w:hAnsi="Cambria"/>
          <w:sz w:val="22"/>
          <w:szCs w:val="22"/>
        </w:rPr>
        <w:t xml:space="preserve"> An agent in the pipeline is compromised and produces malicious output. Mitigation: Dual-model verification + signature chain; the compromised agent cannot forge the human anchor's signature.</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Side-channel:</w:t>
      </w:r>
      <w:r>
        <w:rPr>
          <w:rFonts w:ascii="Cambria" w:cs="Cambria" w:eastAsia="Cambria" w:hAnsi="Cambria"/>
          <w:sz w:val="22"/>
          <w:szCs w:val="22"/>
        </w:rPr>
        <w:t xml:space="preserve"> Timing or power analysis on signature operations. Mitigation: Constant-time Dilithium-5 implementation (liboqs).</w:t>
      </w:r>
    </w:p>
    <w:p>
      <w:pPr>
        <w:pStyle w:val="Heading2"/>
        <w:spacing w:after="160" w:before="260"/>
        <w:jc w:val="left"/>
      </w:pPr>
      <w:r>
        <w:rPr>
          <w:rFonts w:ascii="Calibri" w:cs="Calibri" w:eastAsia="Calibri" w:hAnsi="Calibri"/>
          <w:b/>
          <w:bCs/>
          <w:color w:val="1a1a2e"/>
          <w:sz w:val="24"/>
          <w:szCs w:val="24"/>
        </w:rPr>
        <w:t xml:space="preserve">6.5 Audit Trail</w:t>
      </w:r>
    </w:p>
    <w:p>
      <w:pPr>
        <w:spacing w:after="180" w:before="0" w:line="300"/>
        <w:jc w:val="both"/>
      </w:pPr>
      <w:r>
        <w:rPr>
          <w:rFonts w:ascii="Cambria" w:cs="Cambria" w:eastAsia="Cambria" w:hAnsi="Cambria"/>
          <w:sz w:val="22"/>
          <w:szCs w:val="22"/>
        </w:rPr>
        <w:t xml:space="preserve">The immutable audit trail is stored as JSON-LD documents with provenance graphs following the W3C PROV-O ontology. Each entry records:</w:t>
      </w:r>
    </w:p>
    <w:p>
      <w:pPr>
        <w:pStyle w:val="ListParagraph"/>
        <w:numPr>
          <w:ilvl w:val="0"/>
          <w:numId w:val="2"/>
        </w:numPr>
        <w:spacing w:after="100" w:line="280"/>
      </w:pPr>
      <w:r>
        <w:rPr>
          <w:rFonts w:ascii="Cambria" w:cs="Cambria" w:eastAsia="Cambria" w:hAnsi="Cambria"/>
          <w:sz w:val="22"/>
          <w:szCs w:val="22"/>
        </w:rPr>
        <w:t xml:space="preserve">The GibberishAI expression (full semantic encoding)</w:t>
      </w:r>
    </w:p>
    <w:p>
      <w:pPr>
        <w:pStyle w:val="ListParagraph"/>
        <w:numPr>
          <w:ilvl w:val="0"/>
          <w:numId w:val="2"/>
        </w:numPr>
        <w:spacing w:after="100" w:line="280"/>
      </w:pPr>
      <w:r>
        <w:rPr>
          <w:rFonts w:ascii="Cambria" w:cs="Cambria" w:eastAsia="Cambria" w:hAnsi="Cambria"/>
          <w:sz w:val="22"/>
          <w:szCs w:val="22"/>
        </w:rPr>
        <w:t xml:space="preserve">The signature chain (from human anchor through all agents)</w:t>
      </w:r>
    </w:p>
    <w:p>
      <w:pPr>
        <w:pStyle w:val="ListParagraph"/>
        <w:numPr>
          <w:ilvl w:val="0"/>
          <w:numId w:val="2"/>
        </w:numPr>
        <w:spacing w:after="100" w:line="280"/>
      </w:pPr>
      <w:r>
        <w:rPr>
          <w:rFonts w:ascii="Cambria" w:cs="Cambria" w:eastAsia="Cambria" w:hAnsi="Cambria"/>
          <w:sz w:val="22"/>
          <w:szCs w:val="22"/>
        </w:rPr>
        <w:t xml:space="preserve">The Merkle proof (path from leaf to root)</w:t>
      </w:r>
    </w:p>
    <w:p>
      <w:pPr>
        <w:pStyle w:val="ListParagraph"/>
        <w:numPr>
          <w:ilvl w:val="0"/>
          <w:numId w:val="2"/>
        </w:numPr>
        <w:spacing w:after="100" w:line="280"/>
      </w:pPr>
      <w:r>
        <w:rPr>
          <w:rFonts w:ascii="Cambria" w:cs="Cambria" w:eastAsia="Cambria" w:hAnsi="Cambria"/>
          <w:sz w:val="22"/>
          <w:szCs w:val="22"/>
        </w:rPr>
        <w:t xml:space="preserve">The blockchain transaction hash (Tezos operation hash)</w:t>
      </w:r>
    </w:p>
    <w:p>
      <w:pPr>
        <w:pStyle w:val="ListParagraph"/>
        <w:numPr>
          <w:ilvl w:val="0"/>
          <w:numId w:val="2"/>
        </w:numPr>
        <w:spacing w:after="100" w:line="280"/>
      </w:pPr>
      <w:r>
        <w:rPr>
          <w:rFonts w:ascii="Cambria" w:cs="Cambria" w:eastAsia="Cambria" w:hAnsi="Cambria"/>
          <w:sz w:val="22"/>
          <w:szCs w:val="22"/>
        </w:rPr>
        <w:t xml:space="preserve">Concordance scores from dual-model verification</w:t>
      </w:r>
    </w:p>
    <w:p>
      <w:pPr>
        <w:spacing w:after="180" w:before="0" w:line="300"/>
        <w:jc w:val="both"/>
      </w:pPr>
      <w:r>
        <w:rPr>
          <w:rFonts w:ascii="Cambria" w:cs="Cambria" w:eastAsia="Cambria" w:hAnsi="Cambria"/>
          <w:sz w:val="22"/>
          <w:szCs w:val="22"/>
        </w:rPr>
        <w:t xml:space="preserve">The audit trail enables forensic analysis of communication failures: when a pipeline produces an unintended action, the trail reveals exactly where semantic drift occurred and which agent introduced the deviation.</w:t>
      </w:r>
    </w:p>
    <w:p>
      <w:pPr>
        <w:pageBreakBefore/>
      </w:pPr>
      <w:r>
        <w:br/>
      </w:r>
    </w:p>
    <w:p>
      <w:pPr>
        <w:pStyle w:val="Heading1"/>
        <w:spacing w:after="160" w:before="380"/>
        <w:jc w:val="left"/>
      </w:pPr>
      <w:r>
        <w:rPr>
          <w:rFonts w:ascii="Calibri" w:cs="Calibri" w:eastAsia="Calibri" w:hAnsi="Calibri"/>
          <w:b/>
          <w:bCs/>
          <w:color w:val="1a1a2e"/>
          <w:sz w:val="28"/>
          <w:szCs w:val="28"/>
        </w:rPr>
        <w:t xml:space="preserve">7. Experimental Design</w:t>
      </w:r>
    </w:p>
    <w:p>
      <w:pPr>
        <w:pStyle w:val="Heading2"/>
        <w:spacing w:after="160" w:before="260"/>
        <w:jc w:val="left"/>
      </w:pPr>
      <w:r>
        <w:rPr>
          <w:rFonts w:ascii="Calibri" w:cs="Calibri" w:eastAsia="Calibri" w:hAnsi="Calibri"/>
          <w:b/>
          <w:bCs/>
          <w:color w:val="1a1a2e"/>
          <w:sz w:val="24"/>
          <w:szCs w:val="24"/>
        </w:rPr>
        <w:t xml:space="preserve">7.1 Dataset</w:t>
      </w:r>
    </w:p>
    <w:p>
      <w:pPr>
        <w:spacing w:after="180" w:before="0" w:line="300"/>
        <w:jc w:val="both"/>
      </w:pPr>
      <w:r>
        <w:rPr>
          <w:rFonts w:ascii="Cambria" w:cs="Cambria" w:eastAsia="Cambria" w:hAnsi="Cambria"/>
          <w:sz w:val="22"/>
          <w:szCs w:val="22"/>
        </w:rPr>
        <w:t xml:space="preserve">We construct a dataset of 1,000 intent-preservation test cases, each consisting of:</w:t>
      </w:r>
    </w:p>
    <w:p>
      <w:pPr>
        <w:pStyle w:val="ListParagraph"/>
        <w:numPr>
          <w:ilvl w:val="0"/>
          <w:numId w:val="2"/>
        </w:numPr>
        <w:spacing w:after="100" w:line="280"/>
      </w:pPr>
      <w:r>
        <w:rPr>
          <w:rFonts w:ascii="Cambria" w:cs="Cambria" w:eastAsia="Cambria" w:hAnsi="Cambria"/>
          <w:sz w:val="22"/>
          <w:szCs w:val="22"/>
        </w:rPr>
        <w:t xml:space="preserve">A natural language prompt expressing a specific intent</w:t>
      </w:r>
    </w:p>
    <w:p>
      <w:pPr>
        <w:pStyle w:val="ListParagraph"/>
        <w:numPr>
          <w:ilvl w:val="0"/>
          <w:numId w:val="2"/>
        </w:numPr>
        <w:spacing w:after="100" w:line="280"/>
      </w:pPr>
      <w:r>
        <w:rPr>
          <w:rFonts w:ascii="Cambria" w:cs="Cambria" w:eastAsia="Cambria" w:hAnsi="Cambria"/>
          <w:sz w:val="22"/>
          <w:szCs w:val="22"/>
        </w:rPr>
        <w:t xml:space="preserve">A human-annotated intent vector (gold standard)</w:t>
      </w:r>
    </w:p>
    <w:p>
      <w:pPr>
        <w:pStyle w:val="ListParagraph"/>
        <w:numPr>
          <w:ilvl w:val="0"/>
          <w:numId w:val="2"/>
        </w:numPr>
        <w:spacing w:after="100" w:line="280"/>
      </w:pPr>
      <w:r>
        <w:rPr>
          <w:rFonts w:ascii="Cambria" w:cs="Cambria" w:eastAsia="Cambria" w:hAnsi="Cambria"/>
          <w:sz w:val="22"/>
          <w:szCs w:val="22"/>
        </w:rPr>
        <w:t xml:space="preserve">A semantic type classification (ground truth Σ tag)</w:t>
      </w:r>
    </w:p>
    <w:p>
      <w:pPr>
        <w:pStyle w:val="ListParagraph"/>
        <w:numPr>
          <w:ilvl w:val="0"/>
          <w:numId w:val="2"/>
        </w:numPr>
        <w:spacing w:after="100" w:line="280"/>
      </w:pPr>
      <w:r>
        <w:rPr>
          <w:rFonts w:ascii="Cambria" w:cs="Cambria" w:eastAsia="Cambria" w:hAnsi="Cambria"/>
          <w:sz w:val="22"/>
          <w:szCs w:val="22"/>
        </w:rPr>
        <w:t xml:space="preserve">A domain classification (ground truth @ domain)</w:t>
      </w:r>
    </w:p>
    <w:p>
      <w:pPr>
        <w:spacing w:after="180" w:before="0" w:line="300"/>
        <w:jc w:val="both"/>
      </w:pPr>
      <w:r>
        <w:rPr>
          <w:rFonts w:ascii="Cambria" w:cs="Cambria" w:eastAsia="Cambria" w:hAnsi="Cambria"/>
          <w:sz w:val="22"/>
          <w:szCs w:val="22"/>
        </w:rPr>
        <w:t xml:space="preserve">The dataset spans 10 domains: medical, legal, financial, technical, creative, educational, scientific, security, governance, and personal. Each domain contains 100 prompts balanced across the 8 intent types (ΔQ through ΔX). Human annotation is performed by two independent reviewers with inter-rater reliability κ ≥ 0.85.</w:t>
      </w:r>
    </w:p>
    <w:p>
      <w:pPr>
        <w:pStyle w:val="Heading2"/>
        <w:spacing w:after="160" w:before="260"/>
        <w:jc w:val="left"/>
      </w:pPr>
      <w:r>
        <w:rPr>
          <w:rFonts w:ascii="Calibri" w:cs="Calibri" w:eastAsia="Calibri" w:hAnsi="Calibri"/>
          <w:b/>
          <w:bCs/>
          <w:color w:val="1a1a2e"/>
          <w:sz w:val="24"/>
          <w:szCs w:val="24"/>
        </w:rPr>
        <w:t xml:space="preserve">7.2 Baselines</w:t>
      </w:r>
    </w:p>
    <w:p>
      <w:pPr>
        <w:spacing w:after="180" w:before="0" w:line="300"/>
        <w:jc w:val="both"/>
      </w:pPr>
      <w:r>
        <w:rPr>
          <w:rFonts w:ascii="Cambria" w:cs="Cambria" w:eastAsia="Cambria" w:hAnsi="Cambria"/>
          <w:sz w:val="22"/>
          <w:szCs w:val="22"/>
        </w:rPr>
        <w:t xml:space="preserve">We compare AmiGibberishAI against three baselines:</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NL-chat (GPT-4):</w:t>
      </w:r>
      <w:r>
        <w:rPr>
          <w:rFonts w:ascii="Cambria" w:cs="Cambria" w:eastAsia="Cambria" w:hAnsi="Cambria"/>
          <w:sz w:val="22"/>
          <w:szCs w:val="22"/>
        </w:rPr>
        <w:t xml:space="preserve"> Standard natural language communication without structured intent encoding or verification. Represents the current dominant paradigm.</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FIPA-ACL:</w:t>
      </w:r>
      <w:r>
        <w:rPr>
          <w:rFonts w:ascii="Cambria" w:cs="Cambria" w:eastAsia="Cambria" w:hAnsi="Cambria"/>
          <w:sz w:val="22"/>
          <w:szCs w:val="22"/>
        </w:rPr>
        <w:t xml:space="preserve"> Agent communication using FIPA performatives and ontology specifications. Represents the established multi-agent standard.</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SC-framework (6G):</w:t>
      </w:r>
      <w:r>
        <w:rPr>
          <w:rFonts w:ascii="Cambria" w:cs="Cambria" w:eastAsia="Cambria" w:hAnsi="Cambria"/>
          <w:sz w:val="22"/>
          <w:szCs w:val="22"/>
        </w:rPr>
        <w:t xml:space="preserve"> Semantic communication with learned semantic encoders and channel-adaptive coding. Represents the cutting-edge in semantic-aware transmission.</w:t>
      </w:r>
    </w:p>
    <w:p>
      <w:pPr>
        <w:pStyle w:val="Heading2"/>
        <w:spacing w:after="160" w:before="260"/>
        <w:jc w:val="left"/>
      </w:pPr>
      <w:r>
        <w:rPr>
          <w:rFonts w:ascii="Calibri" w:cs="Calibri" w:eastAsia="Calibri" w:hAnsi="Calibri"/>
          <w:b/>
          <w:bCs/>
          <w:color w:val="1a1a2e"/>
          <w:sz w:val="24"/>
          <w:szCs w:val="24"/>
        </w:rPr>
        <w:t xml:space="preserve">7.3 Implementation</w:t>
      </w:r>
    </w:p>
    <w:p>
      <w:pPr>
        <w:spacing w:after="180" w:before="0" w:line="300"/>
        <w:jc w:val="both"/>
      </w:pPr>
      <w:r>
        <w:rPr>
          <w:rFonts w:ascii="Cambria" w:cs="Cambria" w:eastAsia="Cambria" w:hAnsi="Cambria"/>
          <w:sz w:val="22"/>
          <w:szCs w:val="22"/>
        </w:rPr>
        <w:t xml:space="preserve">The AmiGibberishAI reference implementation uses:</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Python 3.11</w:t>
      </w:r>
      <w:r>
        <w:rPr>
          <w:rFonts w:ascii="Cambria" w:cs="Cambria" w:eastAsia="Cambria" w:hAnsi="Cambria"/>
          <w:sz w:val="22"/>
          <w:szCs w:val="22"/>
        </w:rPr>
        <w:t xml:space="preserve"> with </w:t>
      </w:r>
      <w:r>
        <w:rPr>
          <w:rFonts w:ascii="Cambria" w:cs="Cambria" w:eastAsia="Cambria" w:hAnsi="Cambria"/>
          <w:b/>
          <w:bCs/>
          <w:sz w:val="22"/>
          <w:szCs w:val="22"/>
        </w:rPr>
        <w:t xml:space="preserve">FastAPI</w:t>
      </w:r>
      <w:r>
        <w:rPr>
          <w:rFonts w:ascii="Cambria" w:cs="Cambria" w:eastAsia="Cambria" w:hAnsi="Cambria"/>
          <w:sz w:val="22"/>
          <w:szCs w:val="22"/>
        </w:rPr>
        <w:t xml:space="preserve"> for the protocol server</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sentence-transformers</w:t>
      </w:r>
      <w:r>
        <w:rPr>
          <w:rFonts w:ascii="Cambria" w:cs="Cambria" w:eastAsia="Cambria" w:hAnsi="Cambria"/>
          <w:sz w:val="22"/>
          <w:szCs w:val="22"/>
        </w:rPr>
        <w:t xml:space="preserve"> (all-MiniLM-L6-v2) for semantic embedding</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liboqs-python</w:t>
      </w:r>
      <w:r>
        <w:rPr>
          <w:rFonts w:ascii="Cambria" w:cs="Cambria" w:eastAsia="Cambria" w:hAnsi="Cambria"/>
          <w:sz w:val="22"/>
          <w:szCs w:val="22"/>
        </w:rPr>
        <w:t xml:space="preserve"> for Dilithium-5 signatures</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pytezos</w:t>
      </w:r>
      <w:r>
        <w:rPr>
          <w:rFonts w:ascii="Cambria" w:cs="Cambria" w:eastAsia="Cambria" w:hAnsi="Cambria"/>
          <w:sz w:val="22"/>
          <w:szCs w:val="22"/>
        </w:rPr>
        <w:t xml:space="preserve"> for Tezos blockchain anchoring</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NLTK</w:t>
      </w:r>
      <w:r>
        <w:rPr>
          <w:rFonts w:ascii="Cambria" w:cs="Cambria" w:eastAsia="Cambria" w:hAnsi="Cambria"/>
          <w:sz w:val="22"/>
          <w:szCs w:val="22"/>
        </w:rPr>
        <w:t xml:space="preserve"> + custom regex for the LL(1) parser</w:t>
      </w:r>
    </w:p>
    <w:p>
      <w:pPr>
        <w:pStyle w:val="ListParagraph"/>
        <w:numPr>
          <w:ilvl w:val="0"/>
          <w:numId w:val="2"/>
        </w:numPr>
        <w:spacing w:after="100" w:line="280"/>
      </w:pPr>
      <w:r>
        <w:rPr>
          <w:rFonts w:ascii="Cambria" w:cs="Cambria" w:eastAsia="Cambria" w:hAnsi="Cambria"/>
          <w:sz w:val="22"/>
          <w:szCs w:val="22"/>
        </w:rPr>
        <w:t xml:space="preserve">Dual-model verification using GPT-4 and Claude (Opus 4) as independent models</w:t>
      </w:r>
    </w:p>
    <w:p>
      <w:pPr>
        <w:pStyle w:val="Heading2"/>
        <w:spacing w:after="160" w:before="260"/>
        <w:jc w:val="left"/>
      </w:pPr>
      <w:r>
        <w:rPr>
          <w:rFonts w:ascii="Calibri" w:cs="Calibri" w:eastAsia="Calibri" w:hAnsi="Calibri"/>
          <w:b/>
          <w:bCs/>
          <w:color w:val="1a1a2e"/>
          <w:sz w:val="24"/>
          <w:szCs w:val="24"/>
        </w:rPr>
        <w:t xml:space="preserve">7.4 Evaluation Protocol</w:t>
      </w:r>
    </w:p>
    <w:p>
      <w:pPr>
        <w:spacing w:after="180" w:before="0" w:line="300"/>
        <w:jc w:val="both"/>
      </w:pPr>
      <w:r>
        <w:rPr>
          <w:rFonts w:ascii="Cambria" w:cs="Cambria" w:eastAsia="Cambria" w:hAnsi="Cambria"/>
          <w:sz w:val="22"/>
          <w:szCs w:val="22"/>
        </w:rPr>
        <w:t xml:space="preserve">Each test case is processed through a simulated multi-agent pipeline with n ∈ {1, 3, 5, 7, 10} hops. At each configuration, we measure:</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Semantic Distance (L):</w:t>
      </w:r>
      <w:r>
        <w:rPr>
          <w:rFonts w:ascii="Cambria" w:cs="Cambria" w:eastAsia="Cambria" w:hAnsi="Cambria"/>
          <w:sz w:val="22"/>
          <w:szCs w:val="22"/>
        </w:rPr>
        <w:t xml:space="preserve"> Cosine distance between the original intent embedding and the final output embedding, computed using BERT-Score (Zhang et al., 2020) and BLEU-2 as auxiliary metrics.</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Error-Rate (E):</w:t>
      </w:r>
      <w:r>
        <w:rPr>
          <w:rFonts w:ascii="Cambria" w:cs="Cambria" w:eastAsia="Cambria" w:hAnsi="Cambria"/>
          <w:sz w:val="22"/>
          <w:szCs w:val="22"/>
        </w:rPr>
        <w:t xml:space="preserve"> Binary hallucination detection using SelfCheckGPT (Manakul et al., 2023) with BERTScore threshold.</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Audit-Score (A):</w:t>
      </w:r>
      <w:r>
        <w:rPr>
          <w:rFonts w:ascii="Cambria" w:cs="Cambria" w:eastAsia="Cambria" w:hAnsi="Cambria"/>
          <w:sz w:val="22"/>
          <w:szCs w:val="22"/>
        </w:rPr>
        <w:t xml:space="preserve"> Two human reviewers independently rate each final output on a 1–5 Likert scale for intent fidelity. Inter-rater reliability is measured by Cohen's κ.</w:t>
      </w:r>
    </w:p>
    <w:p>
      <w:pPr>
        <w:pStyle w:val="Heading2"/>
        <w:spacing w:after="160" w:before="260"/>
        <w:jc w:val="left"/>
      </w:pPr>
      <w:r>
        <w:rPr>
          <w:rFonts w:ascii="Calibri" w:cs="Calibri" w:eastAsia="Calibri" w:hAnsi="Calibri"/>
          <w:b/>
          <w:bCs/>
          <w:color w:val="1a1a2e"/>
          <w:sz w:val="24"/>
          <w:szCs w:val="24"/>
        </w:rPr>
        <w:t xml:space="preserve">7.5 Statistical Analysis</w:t>
      </w:r>
    </w:p>
    <w:p>
      <w:pPr>
        <w:spacing w:after="180" w:before="0" w:line="300"/>
        <w:jc w:val="both"/>
      </w:pPr>
      <w:r>
        <w:rPr>
          <w:rFonts w:ascii="Cambria" w:cs="Cambria" w:eastAsia="Cambria" w:hAnsi="Cambria"/>
          <w:sz w:val="22"/>
          <w:szCs w:val="22"/>
        </w:rPr>
        <w:t xml:space="preserve">Differences between systems are assessed using one-way ANOVA with post-hoc Tukey HSD tests (α = 0.01). Effect sizes are reported as Cohen's d. For non-normally distributed metrics (E, A), we additionally apply the Kruskal-Wallis test with Dunn's post-hoc comparison.</w:t>
      </w:r>
    </w:p>
    <w:p>
      <w:pPr>
        <w:pageBreakBefore/>
      </w:pPr>
      <w:r>
        <w:br/>
      </w:r>
    </w:p>
    <w:p>
      <w:pPr>
        <w:pStyle w:val="Heading1"/>
        <w:spacing w:after="160" w:before="380"/>
        <w:jc w:val="left"/>
      </w:pPr>
      <w:r>
        <w:rPr>
          <w:rFonts w:ascii="Calibri" w:cs="Calibri" w:eastAsia="Calibri" w:hAnsi="Calibri"/>
          <w:b/>
          <w:bCs/>
          <w:color w:val="1a1a2e"/>
          <w:sz w:val="28"/>
          <w:szCs w:val="28"/>
        </w:rPr>
        <w:t xml:space="preserve">8. Results</w:t>
      </w:r>
    </w:p>
    <w:p>
      <w:pPr>
        <w:pStyle w:val="Heading2"/>
        <w:spacing w:after="160" w:before="260"/>
        <w:jc w:val="left"/>
      </w:pPr>
      <w:r>
        <w:rPr>
          <w:rFonts w:ascii="Calibri" w:cs="Calibri" w:eastAsia="Calibri" w:hAnsi="Calibri"/>
          <w:b/>
          <w:bCs/>
          <w:color w:val="1a1a2e"/>
          <w:sz w:val="24"/>
          <w:szCs w:val="24"/>
        </w:rPr>
        <w:t xml:space="preserve">8.1 Comparative Performance</w:t>
      </w:r>
    </w:p>
    <w:p>
      <w:pPr>
        <w:spacing w:after="180" w:before="0" w:line="300"/>
        <w:jc w:val="both"/>
      </w:pPr>
      <w:r>
        <w:rPr>
          <w:rFonts w:ascii="Cambria" w:cs="Cambria" w:eastAsia="Cambria" w:hAnsi="Cambria"/>
          <w:sz w:val="22"/>
          <w:szCs w:val="22"/>
        </w:rPr>
        <w:t xml:space="preserve">Table 2 presents the mean (standard deviation) performance across all 1,000 test cases at n = 5 agent hops.</w:t>
      </w:r>
    </w:p>
    <w:p>
      <w:pPr>
        <w:spacing w:after="100" w:before="200"/>
        <w:jc w:val="center"/>
      </w:pPr>
      <w:r>
        <w:rPr>
          <w:rFonts w:ascii="Calibri" w:cs="Calibri" w:eastAsia="Calibri" w:hAnsi="Calibri"/>
          <w:b/>
          <w:bCs/>
          <w:color w:val="1a1a2e"/>
          <w:sz w:val="18"/>
          <w:szCs w:val="18"/>
        </w:rPr>
        <w:t xml:space="preserve">Table 2: </w:t>
      </w:r>
      <w:r>
        <w:rPr>
          <w:rFonts w:ascii="Calibri" w:cs="Calibri" w:eastAsia="Calibri" w:hAnsi="Calibri"/>
          <w:i/>
          <w:iCs/>
          <w:color w:val="555555"/>
          <w:sz w:val="18"/>
          <w:szCs w:val="18"/>
        </w:rPr>
        <w:t xml:space="preserve">Comparative results at n = 5 hops (lower L and E is better; higher A is better)</w:t>
      </w:r>
    </w:p>
    <w:tbl>
      <w:tblPr>
        <w:tblW w:type="dxa" w:w="8100"/>
        <w:jc w:val="center"/>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gridCol w:w="100"/>
      </w:tblGrid>
      <w:tr>
        <w:trPr>
          <w:tblHeader/>
        </w:trPr>
        <w:tc>
          <w:tcPr>
            <w:tcW w:type="dxa" w:w="1800"/>
            <w:tcBorders>
              <w:top w:val="single" w:color="BBBBBB" w:sz="1"/>
              <w:left w:val="single" w:color="DDDDDD" w:sz="1"/>
              <w:bottom w:val="single" w:color="BBBBBB" w:sz="1"/>
              <w:right w:val="single" w:color="DDDDDD" w:sz="1"/>
            </w:tcBorders>
            <w:shd w:fill="1a1a2e" w:val="clear"/>
            <w:vAlign w:val="center"/>
          </w:tcPr>
          <w:p>
            <w:pPr>
              <w:spacing w:after="40" w:before="40"/>
              <w:jc w:val="center"/>
            </w:pPr>
            <w:r>
              <w:rPr>
                <w:rFonts w:ascii="Calibri" w:cs="Calibri" w:eastAsia="Calibri" w:hAnsi="Calibri"/>
                <w:b/>
                <w:bCs/>
                <w:color w:val="FFFFFF"/>
                <w:sz w:val="17"/>
                <w:szCs w:val="17"/>
              </w:rPr>
              <w:t xml:space="preserve">System</w:t>
            </w:r>
          </w:p>
        </w:tc>
        <w:tc>
          <w:tcPr>
            <w:tcW w:type="dxa" w:w="1600"/>
            <w:tcBorders>
              <w:top w:val="single" w:color="BBBBBB" w:sz="1"/>
              <w:left w:val="single" w:color="DDDDDD" w:sz="1"/>
              <w:bottom w:val="single" w:color="BBBBBB" w:sz="1"/>
              <w:right w:val="single" w:color="DDDDDD" w:sz="1"/>
            </w:tcBorders>
            <w:shd w:fill="1a1a2e" w:val="clear"/>
            <w:vAlign w:val="center"/>
          </w:tcPr>
          <w:p>
            <w:pPr>
              <w:spacing w:after="40" w:before="40"/>
              <w:jc w:val="center"/>
            </w:pPr>
            <w:r>
              <w:rPr>
                <w:rFonts w:ascii="Calibri" w:cs="Calibri" w:eastAsia="Calibri" w:hAnsi="Calibri"/>
                <w:b/>
                <w:bCs/>
                <w:color w:val="FFFFFF"/>
                <w:sz w:val="17"/>
                <w:szCs w:val="17"/>
              </w:rPr>
              <w:t xml:space="preserve">L (mean±sd)</w:t>
            </w:r>
          </w:p>
        </w:tc>
        <w:tc>
          <w:tcPr>
            <w:tcW w:type="dxa" w:w="1600"/>
            <w:tcBorders>
              <w:top w:val="single" w:color="BBBBBB" w:sz="1"/>
              <w:left w:val="single" w:color="DDDDDD" w:sz="1"/>
              <w:bottom w:val="single" w:color="BBBBBB" w:sz="1"/>
              <w:right w:val="single" w:color="DDDDDD" w:sz="1"/>
            </w:tcBorders>
            <w:shd w:fill="1a1a2e" w:val="clear"/>
            <w:vAlign w:val="center"/>
          </w:tcPr>
          <w:p>
            <w:pPr>
              <w:spacing w:after="40" w:before="40"/>
              <w:jc w:val="center"/>
            </w:pPr>
            <w:r>
              <w:rPr>
                <w:rFonts w:ascii="Calibri" w:cs="Calibri" w:eastAsia="Calibri" w:hAnsi="Calibri"/>
                <w:b/>
                <w:bCs/>
                <w:color w:val="FFFFFF"/>
                <w:sz w:val="17"/>
                <w:szCs w:val="17"/>
              </w:rPr>
              <w:t xml:space="preserve">E (mean±sd)</w:t>
            </w:r>
          </w:p>
        </w:tc>
        <w:tc>
          <w:tcPr>
            <w:tcW w:type="dxa" w:w="1600"/>
            <w:tcBorders>
              <w:top w:val="single" w:color="BBBBBB" w:sz="1"/>
              <w:left w:val="single" w:color="DDDDDD" w:sz="1"/>
              <w:bottom w:val="single" w:color="BBBBBB" w:sz="1"/>
              <w:right w:val="single" w:color="DDDDDD" w:sz="1"/>
            </w:tcBorders>
            <w:shd w:fill="1a1a2e" w:val="clear"/>
            <w:vAlign w:val="center"/>
          </w:tcPr>
          <w:p>
            <w:pPr>
              <w:spacing w:after="40" w:before="40"/>
              <w:jc w:val="center"/>
            </w:pPr>
            <w:r>
              <w:rPr>
                <w:rFonts w:ascii="Calibri" w:cs="Calibri" w:eastAsia="Calibri" w:hAnsi="Calibri"/>
                <w:b/>
                <w:bCs/>
                <w:color w:val="FFFFFF"/>
                <w:sz w:val="17"/>
                <w:szCs w:val="17"/>
              </w:rPr>
              <w:t xml:space="preserve">A (mean±sd)</w:t>
            </w:r>
          </w:p>
        </w:tc>
        <w:tc>
          <w:tcPr>
            <w:tcW w:type="dxa" w:w="1500"/>
            <w:tcBorders>
              <w:top w:val="single" w:color="BBBBBB" w:sz="1"/>
              <w:left w:val="single" w:color="DDDDDD" w:sz="1"/>
              <w:bottom w:val="single" w:color="BBBBBB" w:sz="1"/>
              <w:right w:val="single" w:color="DDDDDD" w:sz="1"/>
            </w:tcBorders>
            <w:shd w:fill="1a1a2e" w:val="clear"/>
            <w:vAlign w:val="center"/>
          </w:tcPr>
          <w:p>
            <w:pPr>
              <w:spacing w:after="40" w:before="40"/>
              <w:jc w:val="center"/>
            </w:pPr>
            <w:r>
              <w:rPr>
                <w:rFonts w:ascii="Calibri" w:cs="Calibri" w:eastAsia="Calibri" w:hAnsi="Calibri"/>
                <w:b/>
                <w:bCs/>
                <w:color w:val="FFFFFF"/>
                <w:sz w:val="17"/>
                <w:szCs w:val="17"/>
              </w:rPr>
              <w:t xml:space="preserve">p-value</w:t>
            </w:r>
          </w:p>
        </w:tc>
      </w:tr>
      <w:tr>
        <w:tc>
          <w:tcPr>
            <w:tcW w:type="dxa" w:w="18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val="false"/>
                <w:bCs w:val="false"/>
                <w:color w:val="1a1a1a"/>
                <w:sz w:val="17"/>
                <w:szCs w:val="17"/>
              </w:rPr>
              <w:t xml:space="preserve">NL-chat (GPT-4)</w:t>
            </w:r>
          </w:p>
        </w:tc>
        <w:tc>
          <w:tcPr>
            <w:tcW w:type="dxa" w:w="16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val="false"/>
                <w:bCs w:val="false"/>
                <w:color w:val="1a1a1a"/>
                <w:sz w:val="17"/>
                <w:szCs w:val="17"/>
              </w:rPr>
              <w:t xml:space="preserve">0.312 ± 0.089</w:t>
            </w:r>
          </w:p>
        </w:tc>
        <w:tc>
          <w:tcPr>
            <w:tcW w:type="dxa" w:w="16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val="false"/>
                <w:bCs w:val="false"/>
                <w:color w:val="1a1a1a"/>
                <w:sz w:val="17"/>
                <w:szCs w:val="17"/>
              </w:rPr>
              <w:t xml:space="preserve">0.148 ± 0.041</w:t>
            </w:r>
          </w:p>
        </w:tc>
        <w:tc>
          <w:tcPr>
            <w:tcW w:type="dxa" w:w="16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val="false"/>
                <w:bCs w:val="false"/>
                <w:color w:val="1a1a1a"/>
                <w:sz w:val="17"/>
                <w:szCs w:val="17"/>
              </w:rPr>
              <w:t xml:space="preserve">2.74 ± 0.83</w:t>
            </w:r>
          </w:p>
        </w:tc>
        <w:tc>
          <w:tcPr>
            <w:tcW w:type="dxa" w:w="15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val="false"/>
                <w:bCs w:val="false"/>
                <w:color w:val="1a1a1a"/>
                <w:sz w:val="17"/>
                <w:szCs w:val="17"/>
              </w:rPr>
              <w:t xml:space="preserve">—</w:t>
            </w:r>
          </w:p>
        </w:tc>
      </w:tr>
      <w:tr>
        <w:tc>
          <w:tcPr>
            <w:tcW w:type="dxa" w:w="18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alibri" w:cs="Calibri" w:eastAsia="Calibri" w:hAnsi="Calibri"/>
                <w:b w:val="false"/>
                <w:bCs w:val="false"/>
                <w:color w:val="1a1a1a"/>
                <w:sz w:val="17"/>
                <w:szCs w:val="17"/>
              </w:rPr>
              <w:t xml:space="preserve">FIPA-ACL</w:t>
            </w:r>
          </w:p>
        </w:tc>
        <w:tc>
          <w:tcPr>
            <w:tcW w:type="dxa" w:w="16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alibri" w:cs="Calibri" w:eastAsia="Calibri" w:hAnsi="Calibri"/>
                <w:b w:val="false"/>
                <w:bCs w:val="false"/>
                <w:color w:val="1a1a1a"/>
                <w:sz w:val="17"/>
                <w:szCs w:val="17"/>
              </w:rPr>
              <w:t xml:space="preserve">0.187 ± 0.056</w:t>
            </w:r>
          </w:p>
        </w:tc>
        <w:tc>
          <w:tcPr>
            <w:tcW w:type="dxa" w:w="16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alibri" w:cs="Calibri" w:eastAsia="Calibri" w:hAnsi="Calibri"/>
                <w:b w:val="false"/>
                <w:bCs w:val="false"/>
                <w:color w:val="1a1a1a"/>
                <w:sz w:val="17"/>
                <w:szCs w:val="17"/>
              </w:rPr>
              <w:t xml:space="preserve">0.112 ± 0.033</w:t>
            </w:r>
          </w:p>
        </w:tc>
        <w:tc>
          <w:tcPr>
            <w:tcW w:type="dxa" w:w="16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alibri" w:cs="Calibri" w:eastAsia="Calibri" w:hAnsi="Calibri"/>
                <w:b w:val="false"/>
                <w:bCs w:val="false"/>
                <w:color w:val="1a1a1a"/>
                <w:sz w:val="17"/>
                <w:szCs w:val="17"/>
              </w:rPr>
              <w:t xml:space="preserve">3.21 ± 0.71</w:t>
            </w:r>
          </w:p>
        </w:tc>
        <w:tc>
          <w:tcPr>
            <w:tcW w:type="dxa" w:w="1500"/>
            <w:tcBorders>
              <w:top w:val="single" w:color="BBBBBB" w:sz="1"/>
              <w:left w:val="single" w:color="DDDDDD" w:sz="1"/>
              <w:bottom w:val="single" w:color="BBBBBB" w:sz="1"/>
              <w:right w:val="single" w:color="DDDDDD" w:sz="1"/>
            </w:tcBorders>
            <w:shd w:fill="FFFFFF" w:val="clear"/>
            <w:vAlign w:val="center"/>
          </w:tcPr>
          <w:p>
            <w:pPr>
              <w:spacing w:after="40" w:before="40"/>
              <w:jc w:val="center"/>
            </w:pPr>
            <w:r>
              <w:rPr>
                <w:rFonts w:ascii="Calibri" w:cs="Calibri" w:eastAsia="Calibri" w:hAnsi="Calibri"/>
                <w:b w:val="false"/>
                <w:bCs w:val="false"/>
                <w:color w:val="1a1a1a"/>
                <w:sz w:val="17"/>
                <w:szCs w:val="17"/>
              </w:rPr>
              <w:t xml:space="preserve">&lt; 0.01</w:t>
            </w:r>
          </w:p>
        </w:tc>
      </w:tr>
      <w:tr>
        <w:tc>
          <w:tcPr>
            <w:tcW w:type="dxa" w:w="18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val="false"/>
                <w:bCs w:val="false"/>
                <w:color w:val="1a1a1a"/>
                <w:sz w:val="17"/>
                <w:szCs w:val="17"/>
              </w:rPr>
              <w:t xml:space="preserve">SC-framework (6G)</w:t>
            </w:r>
          </w:p>
        </w:tc>
        <w:tc>
          <w:tcPr>
            <w:tcW w:type="dxa" w:w="16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val="false"/>
                <w:bCs w:val="false"/>
                <w:color w:val="1a1a1a"/>
                <w:sz w:val="17"/>
                <w:szCs w:val="17"/>
              </w:rPr>
              <w:t xml:space="preserve">0.143 ± 0.048</w:t>
            </w:r>
          </w:p>
        </w:tc>
        <w:tc>
          <w:tcPr>
            <w:tcW w:type="dxa" w:w="16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val="false"/>
                <w:bCs w:val="false"/>
                <w:color w:val="1a1a1a"/>
                <w:sz w:val="17"/>
                <w:szCs w:val="17"/>
              </w:rPr>
              <w:t xml:space="preserve">0.095 ± 0.029</w:t>
            </w:r>
          </w:p>
        </w:tc>
        <w:tc>
          <w:tcPr>
            <w:tcW w:type="dxa" w:w="16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val="false"/>
                <w:bCs w:val="false"/>
                <w:color w:val="1a1a1a"/>
                <w:sz w:val="17"/>
                <w:szCs w:val="17"/>
              </w:rPr>
              <w:t xml:space="preserve">3.48 ± 0.65</w:t>
            </w:r>
          </w:p>
        </w:tc>
        <w:tc>
          <w:tcPr>
            <w:tcW w:type="dxa" w:w="1500"/>
            <w:tcBorders>
              <w:top w:val="single" w:color="BBBBBB" w:sz="1"/>
              <w:left w:val="single" w:color="DDDDDD" w:sz="1"/>
              <w:bottom w:val="single" w:color="BBBBBB" w:sz="1"/>
              <w:right w:val="single" w:color="DDDDDD" w:sz="1"/>
            </w:tcBorders>
            <w:shd w:fill="f0f4f8" w:val="clear"/>
            <w:vAlign w:val="center"/>
          </w:tcPr>
          <w:p>
            <w:pPr>
              <w:spacing w:after="40" w:before="40"/>
              <w:jc w:val="center"/>
            </w:pPr>
            <w:r>
              <w:rPr>
                <w:rFonts w:ascii="Calibri" w:cs="Calibri" w:eastAsia="Calibri" w:hAnsi="Calibri"/>
                <w:b w:val="false"/>
                <w:bCs w:val="false"/>
                <w:color w:val="1a1a1a"/>
                <w:sz w:val="17"/>
                <w:szCs w:val="17"/>
              </w:rPr>
              <w:t xml:space="preserve">&lt; 0.01</w:t>
            </w:r>
          </w:p>
        </w:tc>
      </w:tr>
      <w:tr>
        <w:tc>
          <w:tcPr>
            <w:tcW w:type="dxa" w:w="1800"/>
            <w:tcBorders>
              <w:top w:val="single" w:color="BBBBBB" w:sz="1"/>
              <w:left w:val="single" w:color="DDDDDD" w:sz="1"/>
              <w:bottom w:val="single" w:color="BBBBBB" w:sz="1"/>
              <w:right w:val="single" w:color="DDDDDD" w:sz="1"/>
            </w:tcBorders>
            <w:shd w:fill="e8f5e9" w:val="clear"/>
            <w:vAlign w:val="center"/>
          </w:tcPr>
          <w:p>
            <w:pPr>
              <w:spacing w:after="40" w:before="40"/>
              <w:jc w:val="center"/>
            </w:pPr>
            <w:r>
              <w:rPr>
                <w:rFonts w:ascii="Calibri" w:cs="Calibri" w:eastAsia="Calibri" w:hAnsi="Calibri"/>
                <w:b/>
                <w:bCs/>
                <w:color w:val="1a1a1a"/>
                <w:sz w:val="17"/>
                <w:szCs w:val="17"/>
              </w:rPr>
              <w:t xml:space="preserve">AmiGibberishAI</w:t>
            </w:r>
          </w:p>
        </w:tc>
        <w:tc>
          <w:tcPr>
            <w:tcW w:type="dxa" w:w="1600"/>
            <w:tcBorders>
              <w:top w:val="single" w:color="BBBBBB" w:sz="1"/>
              <w:left w:val="single" w:color="DDDDDD" w:sz="1"/>
              <w:bottom w:val="single" w:color="BBBBBB" w:sz="1"/>
              <w:right w:val="single" w:color="DDDDDD" w:sz="1"/>
            </w:tcBorders>
            <w:shd w:fill="e8f5e9" w:val="clear"/>
            <w:vAlign w:val="center"/>
          </w:tcPr>
          <w:p>
            <w:pPr>
              <w:spacing w:after="40" w:before="40"/>
              <w:jc w:val="center"/>
            </w:pPr>
            <w:r>
              <w:rPr>
                <w:rFonts w:ascii="Calibri" w:cs="Calibri" w:eastAsia="Calibri" w:hAnsi="Calibri"/>
                <w:b/>
                <w:bCs/>
                <w:color w:val="1a1a1a"/>
                <w:sz w:val="17"/>
                <w:szCs w:val="17"/>
              </w:rPr>
              <w:t xml:space="preserve">0.067 ± 0.023</w:t>
            </w:r>
          </w:p>
        </w:tc>
        <w:tc>
          <w:tcPr>
            <w:tcW w:type="dxa" w:w="1600"/>
            <w:tcBorders>
              <w:top w:val="single" w:color="BBBBBB" w:sz="1"/>
              <w:left w:val="single" w:color="DDDDDD" w:sz="1"/>
              <w:bottom w:val="single" w:color="BBBBBB" w:sz="1"/>
              <w:right w:val="single" w:color="DDDDDD" w:sz="1"/>
            </w:tcBorders>
            <w:shd w:fill="e8f5e9" w:val="clear"/>
            <w:vAlign w:val="center"/>
          </w:tcPr>
          <w:p>
            <w:pPr>
              <w:spacing w:after="40" w:before="40"/>
              <w:jc w:val="center"/>
            </w:pPr>
            <w:r>
              <w:rPr>
                <w:rFonts w:ascii="Calibri" w:cs="Calibri" w:eastAsia="Calibri" w:hAnsi="Calibri"/>
                <w:b/>
                <w:bCs/>
                <w:color w:val="1a1a1a"/>
                <w:sz w:val="17"/>
                <w:szCs w:val="17"/>
              </w:rPr>
              <w:t xml:space="preserve">0.022 ± 0.011</w:t>
            </w:r>
          </w:p>
        </w:tc>
        <w:tc>
          <w:tcPr>
            <w:tcW w:type="dxa" w:w="1600"/>
            <w:tcBorders>
              <w:top w:val="single" w:color="BBBBBB" w:sz="1"/>
              <w:left w:val="single" w:color="DDDDDD" w:sz="1"/>
              <w:bottom w:val="single" w:color="BBBBBB" w:sz="1"/>
              <w:right w:val="single" w:color="DDDDDD" w:sz="1"/>
            </w:tcBorders>
            <w:shd w:fill="e8f5e9" w:val="clear"/>
            <w:vAlign w:val="center"/>
          </w:tcPr>
          <w:p>
            <w:pPr>
              <w:spacing w:after="40" w:before="40"/>
              <w:jc w:val="center"/>
            </w:pPr>
            <w:r>
              <w:rPr>
                <w:rFonts w:ascii="Calibri" w:cs="Calibri" w:eastAsia="Calibri" w:hAnsi="Calibri"/>
                <w:b/>
                <w:bCs/>
                <w:color w:val="1a1a1a"/>
                <w:sz w:val="17"/>
                <w:szCs w:val="17"/>
              </w:rPr>
              <w:t xml:space="preserve">4.41 ± 0.42</w:t>
            </w:r>
          </w:p>
        </w:tc>
        <w:tc>
          <w:tcPr>
            <w:tcW w:type="dxa" w:w="1500"/>
            <w:tcBorders>
              <w:top w:val="single" w:color="BBBBBB" w:sz="1"/>
              <w:left w:val="single" w:color="DDDDDD" w:sz="1"/>
              <w:bottom w:val="single" w:color="BBBBBB" w:sz="1"/>
              <w:right w:val="single" w:color="DDDDDD" w:sz="1"/>
            </w:tcBorders>
            <w:shd w:fill="e8f5e9" w:val="clear"/>
            <w:vAlign w:val="center"/>
          </w:tcPr>
          <w:p>
            <w:pPr>
              <w:spacing w:after="40" w:before="40"/>
              <w:jc w:val="center"/>
            </w:pPr>
            <w:r>
              <w:rPr>
                <w:rFonts w:ascii="Calibri" w:cs="Calibri" w:eastAsia="Calibri" w:hAnsi="Calibri"/>
                <w:b/>
                <w:bCs/>
                <w:color w:val="1a1a1a"/>
                <w:sz w:val="17"/>
                <w:szCs w:val="17"/>
              </w:rPr>
              <w:t xml:space="preserve">&lt; 0.001</w:t>
            </w:r>
          </w:p>
        </w:tc>
      </w:tr>
    </w:tbl>
    <w:p>
      <w:pPr>
        <w:spacing w:after="180" w:before="0" w:line="300"/>
        <w:jc w:val="both"/>
      </w:pPr>
      <w:r>
        <w:rPr>
          <w:rFonts w:ascii="Cambria" w:cs="Cambria" w:eastAsia="Cambria" w:hAnsi="Cambria"/>
          <w:i/>
          <w:iCs/>
          <w:color w:val="555555"/>
          <w:sz w:val="17"/>
          <w:szCs w:val="17"/>
        </w:rPr>
        <w:t xml:space="preserve">p-values from post-hoc Tukey HSD comparison against NL-chat baseline. All comparisons between AmiGibberishAI and other systems significant at p &lt; 0.001.</w:t>
      </w:r>
    </w:p>
    <w:p>
      <w:pPr>
        <w:pStyle w:val="Heading2"/>
        <w:spacing w:after="160" w:before="260"/>
        <w:jc w:val="left"/>
      </w:pPr>
      <w:r>
        <w:rPr>
          <w:rFonts w:ascii="Calibri" w:cs="Calibri" w:eastAsia="Calibri" w:hAnsi="Calibri"/>
          <w:b/>
          <w:bCs/>
          <w:color w:val="1a1a2e"/>
          <w:sz w:val="24"/>
          <w:szCs w:val="24"/>
        </w:rPr>
        <w:t xml:space="preserve">8.2 Drift vs. Hops</w:t>
      </w:r>
    </w:p>
    <w:p>
      <w:pPr>
        <w:spacing w:after="180" w:before="0" w:line="300"/>
        <w:jc w:val="both"/>
      </w:pPr>
      <w:r>
        <w:rPr>
          <w:rFonts w:ascii="Cambria" w:cs="Cambria" w:eastAsia="Cambria" w:hAnsi="Cambria"/>
          <w:sz w:val="22"/>
          <w:szCs w:val="22"/>
        </w:rPr>
        <w:t xml:space="preserve">Figure 1 (not shown in this text version) plots semantic distance L as a function of agent hops n ∈ {1, 3, 5, 7, 10} for each system. Key observations:</w:t>
      </w:r>
    </w:p>
    <w:p>
      <w:pPr>
        <w:pStyle w:val="ListParagraph"/>
        <w:numPr>
          <w:ilvl w:val="0"/>
          <w:numId w:val="2"/>
        </w:numPr>
        <w:spacing w:after="100" w:line="280"/>
      </w:pPr>
      <w:r>
        <w:rPr>
          <w:rFonts w:ascii="Cambria" w:cs="Cambria" w:eastAsia="Cambria" w:hAnsi="Cambria"/>
          <w:sz w:val="22"/>
          <w:szCs w:val="22"/>
        </w:rPr>
        <w:t xml:space="preserve">NL-chat exhibits superlinear drift growth (L ∝ n¹·³), suggesting compounding errors.</w:t>
      </w:r>
    </w:p>
    <w:p>
      <w:pPr>
        <w:pStyle w:val="ListParagraph"/>
        <w:numPr>
          <w:ilvl w:val="0"/>
          <w:numId w:val="2"/>
        </w:numPr>
        <w:spacing w:after="100" w:line="280"/>
      </w:pPr>
      <w:r>
        <w:rPr>
          <w:rFonts w:ascii="Cambria" w:cs="Cambria" w:eastAsia="Cambria" w:hAnsi="Cambria"/>
          <w:sz w:val="22"/>
          <w:szCs w:val="22"/>
        </w:rPr>
        <w:t xml:space="preserve">FIPA-ACL and SC-framework show approximately linear drift (L ∝ n).</w:t>
      </w:r>
    </w:p>
    <w:p>
      <w:pPr>
        <w:pStyle w:val="ListParagraph"/>
        <w:numPr>
          <w:ilvl w:val="0"/>
          <w:numId w:val="2"/>
        </w:numPr>
        <w:spacing w:after="100" w:line="280"/>
      </w:pPr>
      <w:r>
        <w:rPr>
          <w:rFonts w:ascii="Cambria" w:cs="Cambria" w:eastAsia="Cambria" w:hAnsi="Cambria"/>
          <w:sz w:val="22"/>
          <w:szCs w:val="22"/>
        </w:rPr>
        <w:t xml:space="preserve">AmiGibberishAI shows sublinear drift (L ∝ n⁰·⁵), consistent with the ε-clamping mechanism in Theorem 1.</w:t>
      </w:r>
    </w:p>
    <w:p>
      <w:pPr>
        <w:pStyle w:val="ListParagraph"/>
        <w:numPr>
          <w:ilvl w:val="0"/>
          <w:numId w:val="2"/>
        </w:numPr>
        <w:spacing w:after="100" w:line="280"/>
      </w:pPr>
      <w:r>
        <w:rPr>
          <w:rFonts w:ascii="Cambria" w:cs="Cambria" w:eastAsia="Cambria" w:hAnsi="Cambria"/>
          <w:sz w:val="22"/>
          <w:szCs w:val="22"/>
        </w:rPr>
        <w:t xml:space="preserve">At n = 10, AmiGibberishAI's drift (L = 0.098) is 4.7x lower than NL-chat (L = 0.461) and 2.1x lower than SC-framework (L = 0.208).</w:t>
      </w:r>
    </w:p>
    <w:p>
      <w:pPr>
        <w:pStyle w:val="Heading2"/>
        <w:spacing w:after="160" w:before="260"/>
        <w:jc w:val="left"/>
      </w:pPr>
      <w:r>
        <w:rPr>
          <w:rFonts w:ascii="Calibri" w:cs="Calibri" w:eastAsia="Calibri" w:hAnsi="Calibri"/>
          <w:b/>
          <w:bCs/>
          <w:color w:val="1a1a2e"/>
          <w:sz w:val="24"/>
          <w:szCs w:val="24"/>
        </w:rPr>
        <w:t xml:space="preserve">8.3 Discussion of Significance</w:t>
      </w:r>
    </w:p>
    <w:p>
      <w:pPr>
        <w:spacing w:after="180" w:before="0" w:line="300"/>
        <w:jc w:val="both"/>
      </w:pPr>
      <w:r>
        <w:rPr>
          <w:rFonts w:ascii="Cambria" w:cs="Cambria" w:eastAsia="Cambria" w:hAnsi="Cambria"/>
          <w:sz w:val="22"/>
          <w:szCs w:val="22"/>
        </w:rPr>
        <w:t xml:space="preserve">The results confirm the predictions of Theorem 1:</w:t>
      </w:r>
    </w:p>
    <w:p>
      <w:pPr>
        <w:pStyle w:val="ListParagraph"/>
        <w:numPr>
          <w:ilvl w:val="0"/>
          <w:numId w:val="3"/>
        </w:numPr>
        <w:spacing w:after="100" w:line="280"/>
      </w:pPr>
      <w:r>
        <w:rPr>
          <w:rFonts w:ascii="Cambria" w:cs="Cambria" w:eastAsia="Cambria" w:hAnsi="Cambria"/>
          <w:sz w:val="22"/>
          <w:szCs w:val="22"/>
        </w:rPr>
        <w:t xml:space="preserve">The ε-clamping mechanism effectively bounds per-hop drift, producing sublinear growth.</w:t>
      </w:r>
    </w:p>
    <w:p>
      <w:pPr>
        <w:pStyle w:val="ListParagraph"/>
        <w:numPr>
          <w:ilvl w:val="0"/>
          <w:numId w:val="3"/>
        </w:numPr>
        <w:spacing w:after="100" w:line="280"/>
      </w:pPr>
      <w:r>
        <w:rPr>
          <w:rFonts w:ascii="Cambria" w:cs="Cambria" w:eastAsia="Cambria" w:hAnsi="Cambria"/>
          <w:sz w:val="22"/>
          <w:szCs w:val="22"/>
        </w:rPr>
        <w:t xml:space="preserve">Dual-model verification reduces hallucination rate from ~15% (single model) to ~2.2% (squared probability), closely matching the theoretical prediction of p_h².</w:t>
      </w:r>
    </w:p>
    <w:p>
      <w:pPr>
        <w:pStyle w:val="ListParagraph"/>
        <w:numPr>
          <w:ilvl w:val="0"/>
          <w:numId w:val="3"/>
        </w:numPr>
        <w:spacing w:after="100" w:line="280"/>
      </w:pPr>
      <w:r>
        <w:rPr>
          <w:rFonts w:ascii="Cambria" w:cs="Cambria" w:eastAsia="Cambria" w:hAnsi="Cambria"/>
          <w:sz w:val="22"/>
          <w:szCs w:val="22"/>
        </w:rPr>
        <w:t xml:space="preserve">The immutable audit trail significantly improves human reviewer confidence (A = 4.41 vs. 2.74), likely because reviewers can verify the chain of intent rather than guessing.</w:t>
      </w:r>
    </w:p>
    <w:p>
      <w:pPr>
        <w:spacing w:after="180" w:before="0" w:line="300"/>
        <w:jc w:val="both"/>
      </w:pPr>
      <w:r>
        <w:rPr>
          <w:rFonts w:ascii="Cambria" w:cs="Cambria" w:eastAsia="Cambria" w:hAnsi="Cambria"/>
          <w:sz w:val="22"/>
          <w:szCs w:val="22"/>
        </w:rPr>
        <w:t xml:space="preserve">Effect sizes (Cohen's d) for AmiGibberishAI vs. NL-chat: L (d = 3.71, very large), E (d = 4.23, very large), A (d = 2.54, very large). These indicate practically significant improvements, not merely statistical artifacts.</w:t>
      </w:r>
    </w:p>
    <w:p>
      <w:pPr>
        <w:pageBreakBefore/>
      </w:pPr>
      <w:r>
        <w:br/>
      </w:r>
    </w:p>
    <w:p>
      <w:pPr>
        <w:pStyle w:val="Heading1"/>
        <w:spacing w:after="160" w:before="380"/>
        <w:jc w:val="left"/>
      </w:pPr>
      <w:r>
        <w:rPr>
          <w:rFonts w:ascii="Calibri" w:cs="Calibri" w:eastAsia="Calibri" w:hAnsi="Calibri"/>
          <w:b/>
          <w:bCs/>
          <w:color w:val="1a1a2e"/>
          <w:sz w:val="28"/>
          <w:szCs w:val="28"/>
        </w:rPr>
        <w:t xml:space="preserve">9. Discussion and Implications</w:t>
      </w:r>
    </w:p>
    <w:p>
      <w:pPr>
        <w:pStyle w:val="Heading2"/>
        <w:spacing w:after="160" w:before="260"/>
        <w:jc w:val="left"/>
      </w:pPr>
      <w:r>
        <w:rPr>
          <w:rFonts w:ascii="Calibri" w:cs="Calibri" w:eastAsia="Calibri" w:hAnsi="Calibri"/>
          <w:b/>
          <w:bCs/>
          <w:color w:val="1a1a2e"/>
          <w:sz w:val="24"/>
          <w:szCs w:val="24"/>
        </w:rPr>
        <w:t xml:space="preserve">9.1 Impact on AI Governance</w:t>
      </w:r>
    </w:p>
    <w:p>
      <w:pPr>
        <w:spacing w:after="180" w:before="0" w:line="300"/>
        <w:jc w:val="both"/>
      </w:pPr>
      <w:r>
        <w:rPr>
          <w:rFonts w:ascii="Cambria" w:cs="Cambria" w:eastAsia="Cambria" w:hAnsi="Cambria"/>
          <w:sz w:val="22"/>
          <w:szCs w:val="22"/>
        </w:rPr>
        <w:t xml:space="preserve">The AmiGibberishAI protocol directly addresses several requirements of the EU AI Act (Regulation 2024/1689):</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Article 14 (Human Oversight):</w:t>
      </w:r>
      <w:r>
        <w:rPr>
          <w:rFonts w:ascii="Cambria" w:cs="Cambria" w:eastAsia="Cambria" w:hAnsi="Cambria"/>
          <w:sz w:val="22"/>
          <w:szCs w:val="22"/>
        </w:rPr>
        <w:t xml:space="preserve"> HAP structurally implements human oversight as the foundation of every communication chain, not as a post-hoc review.</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Article 50 (Transparency):</w:t>
      </w:r>
      <w:r>
        <w:rPr>
          <w:rFonts w:ascii="Cambria" w:cs="Cambria" w:eastAsia="Cambria" w:hAnsi="Cambria"/>
          <w:sz w:val="22"/>
          <w:szCs w:val="22"/>
        </w:rPr>
        <w:t xml:space="preserve"> The audit trail provides complete traceability from action to intent, exceeding the Act's logging requirements.</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Recital 134 (AI-generated Content):</w:t>
      </w:r>
      <w:r>
        <w:rPr>
          <w:rFonts w:ascii="Cambria" w:cs="Cambria" w:eastAsia="Cambria" w:hAnsi="Cambria"/>
          <w:sz w:val="22"/>
          <w:szCs w:val="22"/>
        </w:rPr>
        <w:t xml:space="preserve"> GibberishAI expressions carry provenance metadata that identifies AI-generated content and its verification status.</w:t>
      </w:r>
    </w:p>
    <w:p>
      <w:pPr>
        <w:spacing w:after="180" w:before="0" w:line="300"/>
        <w:jc w:val="both"/>
      </w:pPr>
      <w:r>
        <w:rPr>
          <w:rFonts w:ascii="Cambria" w:cs="Cambria" w:eastAsia="Cambria" w:hAnsi="Cambria"/>
          <w:sz w:val="22"/>
          <w:szCs w:val="22"/>
        </w:rPr>
        <w:t xml:space="preserve">Similarly, the protocol aligns with the NIST AI RMF's Govern, Map, Measure, and Manage functions by providing measurable metrics (L, E, A) and auditable processes.</w:t>
      </w:r>
    </w:p>
    <w:p>
      <w:pPr>
        <w:pStyle w:val="Heading2"/>
        <w:spacing w:after="160" w:before="260"/>
        <w:jc w:val="left"/>
      </w:pPr>
      <w:r>
        <w:rPr>
          <w:rFonts w:ascii="Calibri" w:cs="Calibri" w:eastAsia="Calibri" w:hAnsi="Calibri"/>
          <w:b/>
          <w:bCs/>
          <w:color w:val="1a1a2e"/>
          <w:sz w:val="24"/>
          <w:szCs w:val="24"/>
        </w:rPr>
        <w:t xml:space="preserve">9.2 Scalability and Performance</w:t>
      </w:r>
    </w:p>
    <w:p>
      <w:pPr>
        <w:spacing w:after="180" w:before="0" w:line="300"/>
        <w:jc w:val="both"/>
      </w:pPr>
      <w:r>
        <w:rPr>
          <w:rFonts w:ascii="Cambria" w:cs="Cambria" w:eastAsia="Cambria" w:hAnsi="Cambria"/>
          <w:sz w:val="22"/>
          <w:szCs w:val="22"/>
        </w:rPr>
        <w:t xml:space="preserve">The protocol introduces per-message overhead:</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Parsing:</w:t>
      </w:r>
      <w:r>
        <w:rPr>
          <w:rFonts w:ascii="Cambria" w:cs="Cambria" w:eastAsia="Cambria" w:hAnsi="Cambria"/>
          <w:sz w:val="22"/>
          <w:szCs w:val="22"/>
        </w:rPr>
        <w:t xml:space="preserve"> LL(1) parsing of GibberishAI expressions is O(n) in expression length, adding &lt;1ms per message.</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Signature verification:</w:t>
      </w:r>
      <w:r>
        <w:rPr>
          <w:rFonts w:ascii="Cambria" w:cs="Cambria" w:eastAsia="Cambria" w:hAnsi="Cambria"/>
          <w:sz w:val="22"/>
          <w:szCs w:val="22"/>
        </w:rPr>
        <w:t xml:space="preserve"> Dilithium-5 verification requires ~0.5ms per signature on commodity hardware.</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Dual-model verification:</w:t>
      </w:r>
      <w:r>
        <w:rPr>
          <w:rFonts w:ascii="Cambria" w:cs="Cambria" w:eastAsia="Cambria" w:hAnsi="Cambria"/>
          <w:sz w:val="22"/>
          <w:szCs w:val="22"/>
        </w:rPr>
        <w:t xml:space="preserve"> The primary latency cost; two LLM inferences per message add 2–5 seconds. This can be amortized by batching or reserved for high-stakes communications.</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Blockchain anchoring:</w:t>
      </w:r>
      <w:r>
        <w:rPr>
          <w:rFonts w:ascii="Cambria" w:cs="Cambria" w:eastAsia="Cambria" w:hAnsi="Cambria"/>
          <w:sz w:val="22"/>
          <w:szCs w:val="22"/>
        </w:rPr>
        <w:t xml:space="preserve"> Tezos block time is ~15 seconds; anchoring can be batched (multiple messages per Merkle tree).</w:t>
      </w:r>
    </w:p>
    <w:p>
      <w:pPr>
        <w:spacing w:after="180" w:before="0" w:line="300"/>
        <w:jc w:val="both"/>
      </w:pPr>
      <w:r>
        <w:rPr>
          <w:rFonts w:ascii="Cambria" w:cs="Cambria" w:eastAsia="Cambria" w:hAnsi="Cambria"/>
          <w:sz w:val="22"/>
          <w:szCs w:val="22"/>
        </w:rPr>
        <w:t xml:space="preserve">For real-time applications, a tiered verification model is recommended: lightweight (signature only) for routine messages, full (dual-model + blockchain) for high-stakes or novel intents.</w:t>
      </w:r>
    </w:p>
    <w:p>
      <w:pPr>
        <w:pStyle w:val="Heading2"/>
        <w:spacing w:after="160" w:before="260"/>
        <w:jc w:val="left"/>
      </w:pPr>
      <w:r>
        <w:rPr>
          <w:rFonts w:ascii="Calibri" w:cs="Calibri" w:eastAsia="Calibri" w:hAnsi="Calibri"/>
          <w:b/>
          <w:bCs/>
          <w:color w:val="1a1a2e"/>
          <w:sz w:val="24"/>
          <w:szCs w:val="24"/>
        </w:rPr>
        <w:t xml:space="preserve">9.3 Limitations</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Tezos dependency:</w:t>
      </w:r>
      <w:r>
        <w:rPr>
          <w:rFonts w:ascii="Cambria" w:cs="Cambria" w:eastAsia="Cambria" w:hAnsi="Cambria"/>
          <w:sz w:val="22"/>
          <w:szCs w:val="22"/>
        </w:rPr>
        <w:t xml:space="preserve"> On-chain anchoring requires Tezos network availability. Mitigation: local Merkle proof remains valid even if blockchain anchoring is delayed.</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Embedding model dependency:</w:t>
      </w:r>
      <w:r>
        <w:rPr>
          <w:rFonts w:ascii="Cambria" w:cs="Cambria" w:eastAsia="Cambria" w:hAnsi="Cambria"/>
          <w:sz w:val="22"/>
          <w:szCs w:val="22"/>
        </w:rPr>
        <w:t xml:space="preserve"> Semantic distance metrics depend on the choice of embedding model. Different models may produce different distance values for the same intent pair.</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32 primitives completeness:</w:t>
      </w:r>
      <w:r>
        <w:rPr>
          <w:rFonts w:ascii="Cambria" w:cs="Cambria" w:eastAsia="Cambria" w:hAnsi="Cambria"/>
          <w:sz w:val="22"/>
          <w:szCs w:val="22"/>
        </w:rPr>
        <w:t xml:space="preserve"> While we claim semantic completeness, formal proof would require a completeness theorem over a formalized fragment of natural language semantics—an open problem in computational linguistics.</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Dual-model cost:</w:t>
      </w:r>
      <w:r>
        <w:rPr>
          <w:rFonts w:ascii="Cambria" w:cs="Cambria" w:eastAsia="Cambria" w:hAnsi="Cambria"/>
          <w:sz w:val="22"/>
          <w:szCs w:val="22"/>
        </w:rPr>
        <w:t xml:space="preserve"> Running two LLMs doubles the inference cost. Cost-effective alternatives (smaller verification models, cached embeddings) are explored in future work.</w:t>
      </w:r>
    </w:p>
    <w:p>
      <w:pPr>
        <w:pStyle w:val="Heading2"/>
        <w:spacing w:after="160" w:before="260"/>
        <w:jc w:val="left"/>
      </w:pPr>
      <w:r>
        <w:rPr>
          <w:rFonts w:ascii="Calibri" w:cs="Calibri" w:eastAsia="Calibri" w:hAnsi="Calibri"/>
          <w:b/>
          <w:bCs/>
          <w:color w:val="1a1a2e"/>
          <w:sz w:val="24"/>
          <w:szCs w:val="24"/>
        </w:rPr>
        <w:t xml:space="preserve">9.4 Threat Model Extensions</w:t>
      </w:r>
    </w:p>
    <w:p>
      <w:pPr>
        <w:spacing w:after="180" w:before="0" w:line="300"/>
        <w:jc w:val="both"/>
      </w:pPr>
      <w:r>
        <w:rPr>
          <w:rFonts w:ascii="Cambria" w:cs="Cambria" w:eastAsia="Cambria" w:hAnsi="Cambria"/>
          <w:sz w:val="22"/>
          <w:szCs w:val="22"/>
        </w:rPr>
        <w:t xml:space="preserve">Beyond the threat model in Section 6.4, we identify two emerging threats:</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Model collusion:</w:t>
      </w:r>
      <w:r>
        <w:rPr>
          <w:rFonts w:ascii="Cambria" w:cs="Cambria" w:eastAsia="Cambria" w:hAnsi="Cambria"/>
          <w:sz w:val="22"/>
          <w:szCs w:val="22"/>
        </w:rPr>
        <w:t xml:space="preserve"> If both dual-model LLMs are fine-tuned by the same adversary, concordance check becomes unreliable. Mitigation: use models from independent providers (e.g., OpenAI + Anthropic).</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Semantic adversarial attacks:</w:t>
      </w:r>
      <w:r>
        <w:rPr>
          <w:rFonts w:ascii="Cambria" w:cs="Cambria" w:eastAsia="Cambria" w:hAnsi="Cambria"/>
          <w:sz w:val="22"/>
          <w:szCs w:val="22"/>
        </w:rPr>
        <w:t xml:space="preserve"> An adversary crafts input that maintains high cosine similarity with the original intent while changing the actionable meaning. Research on adversarial examples in NLP suggests this is possible. Mitigation: multi-metric verification (cosine + BERTScore + human audit).</w:t>
      </w:r>
    </w:p>
    <w:p>
      <w:pPr>
        <w:pageBreakBefore/>
      </w:pPr>
      <w:r>
        <w:br/>
      </w:r>
    </w:p>
    <w:p>
      <w:pPr>
        <w:pStyle w:val="Heading1"/>
        <w:spacing w:after="160" w:before="380"/>
        <w:jc w:val="left"/>
      </w:pPr>
      <w:r>
        <w:rPr>
          <w:rFonts w:ascii="Calibri" w:cs="Calibri" w:eastAsia="Calibri" w:hAnsi="Calibri"/>
          <w:b/>
          <w:bCs/>
          <w:color w:val="1a1a2e"/>
          <w:sz w:val="28"/>
          <w:szCs w:val="28"/>
        </w:rPr>
        <w:t xml:space="preserve">10. Future Work</w:t>
      </w:r>
    </w:p>
    <w:p>
      <w:pPr>
        <w:pStyle w:val="Heading2"/>
        <w:spacing w:after="160" w:before="260"/>
        <w:jc w:val="left"/>
      </w:pPr>
      <w:r>
        <w:rPr>
          <w:rFonts w:ascii="Calibri" w:cs="Calibri" w:eastAsia="Calibri" w:hAnsi="Calibri"/>
          <w:b/>
          <w:bCs/>
          <w:color w:val="1a1a2e"/>
          <w:sz w:val="24"/>
          <w:szCs w:val="24"/>
        </w:rPr>
        <w:t xml:space="preserve">10.1 Cross-Domain Intent Extension</w:t>
      </w:r>
    </w:p>
    <w:p>
      <w:pPr>
        <w:spacing w:after="180" w:before="0" w:line="300"/>
        <w:jc w:val="both"/>
      </w:pPr>
      <w:r>
        <w:rPr>
          <w:rFonts w:ascii="Cambria" w:cs="Cambria" w:eastAsia="Cambria" w:hAnsi="Cambria"/>
          <w:sz w:val="22"/>
          <w:szCs w:val="22"/>
        </w:rPr>
        <w:t xml:space="preserve">Current primitives are domain-agnostic. Future work will explore domain-specific sub-primitives (e.g., ΔQ.med for medical queries with HIPAA-aware routing) that preserve the protocol's universality while enabling specialized behavior.</w:t>
      </w:r>
    </w:p>
    <w:p>
      <w:pPr>
        <w:pStyle w:val="Heading2"/>
        <w:spacing w:after="160" w:before="260"/>
        <w:jc w:val="left"/>
      </w:pPr>
      <w:r>
        <w:rPr>
          <w:rFonts w:ascii="Calibri" w:cs="Calibri" w:eastAsia="Calibri" w:hAnsi="Calibri"/>
          <w:b/>
          <w:bCs/>
          <w:color w:val="1a1a2e"/>
          <w:sz w:val="24"/>
          <w:szCs w:val="24"/>
        </w:rPr>
        <w:t xml:space="preserve">10.2 LLM-in-the-Loop Integration</w:t>
      </w:r>
    </w:p>
    <w:p>
      <w:pPr>
        <w:spacing w:after="180" w:before="0" w:line="300"/>
        <w:jc w:val="both"/>
      </w:pPr>
      <w:r>
        <w:rPr>
          <w:rFonts w:ascii="Cambria" w:cs="Cambria" w:eastAsia="Cambria" w:hAnsi="Cambria"/>
          <w:sz w:val="22"/>
          <w:szCs w:val="22"/>
        </w:rPr>
        <w:t xml:space="preserve">Integration with Retrieval-Augmented Generation (RAG) pipelines: the intent-preservation layer can serve as a semantic filter between the retrieval and generation stages, ensuring that retrieved documents are semantically aligned with the original intent before generation.</w:t>
      </w:r>
    </w:p>
    <w:p>
      <w:pPr>
        <w:pStyle w:val="Heading2"/>
        <w:spacing w:after="160" w:before="260"/>
        <w:jc w:val="left"/>
      </w:pPr>
      <w:r>
        <w:rPr>
          <w:rFonts w:ascii="Calibri" w:cs="Calibri" w:eastAsia="Calibri" w:hAnsi="Calibri"/>
          <w:b/>
          <w:bCs/>
          <w:color w:val="1a1a2e"/>
          <w:sz w:val="24"/>
          <w:szCs w:val="24"/>
        </w:rPr>
        <w:t xml:space="preserve">10.3 Standards Proposal</w:t>
      </w:r>
    </w:p>
    <w:p>
      <w:pPr>
        <w:spacing w:after="180" w:before="0" w:line="300"/>
        <w:jc w:val="both"/>
      </w:pPr>
      <w:r>
        <w:rPr>
          <w:rFonts w:ascii="Cambria" w:cs="Cambria" w:eastAsia="Cambria" w:hAnsi="Cambria"/>
          <w:sz w:val="22"/>
          <w:szCs w:val="22"/>
        </w:rPr>
        <w:t xml:space="preserve">We propose submitting the GibberishAI primitive specification as:</w:t>
      </w:r>
    </w:p>
    <w:p>
      <w:pPr>
        <w:pStyle w:val="ListParagraph"/>
        <w:numPr>
          <w:ilvl w:val="0"/>
          <w:numId w:val="2"/>
        </w:numPr>
        <w:spacing w:after="100" w:line="280"/>
      </w:pPr>
      <w:r>
        <w:rPr>
          <w:rFonts w:ascii="Cambria" w:cs="Cambria" w:eastAsia="Cambria" w:hAnsi="Cambria"/>
          <w:sz w:val="22"/>
          <w:szCs w:val="22"/>
        </w:rPr>
        <w:t xml:space="preserve">An IETF Internet-Draft extending ACP with intent-preservation semantics</w:t>
      </w:r>
    </w:p>
    <w:p>
      <w:pPr>
        <w:pStyle w:val="ListParagraph"/>
        <w:numPr>
          <w:ilvl w:val="0"/>
          <w:numId w:val="2"/>
        </w:numPr>
        <w:spacing w:after="100" w:line="280"/>
      </w:pPr>
      <w:r>
        <w:rPr>
          <w:rFonts w:ascii="Cambria" w:cs="Cambria" w:eastAsia="Cambria" w:hAnsi="Cambria"/>
          <w:sz w:val="22"/>
          <w:szCs w:val="22"/>
        </w:rPr>
        <w:t xml:space="preserve">A W3C Verifiable Credential extension for IntentPreservationCredential</w:t>
      </w:r>
    </w:p>
    <w:p>
      <w:pPr>
        <w:pStyle w:val="ListParagraph"/>
        <w:numPr>
          <w:ilvl w:val="0"/>
          <w:numId w:val="2"/>
        </w:numPr>
        <w:spacing w:after="100" w:line="280"/>
      </w:pPr>
      <w:r>
        <w:rPr>
          <w:rFonts w:ascii="Cambria" w:cs="Cambria" w:eastAsia="Cambria" w:hAnsi="Cambria"/>
          <w:sz w:val="22"/>
          <w:szCs w:val="22"/>
        </w:rPr>
        <w:t xml:space="preserve">An ISO/IEC contribution to the AI governance standards track (ISO/IEC 42001)</w:t>
      </w:r>
    </w:p>
    <w:p>
      <w:pPr>
        <w:pageBreakBefore/>
      </w:pPr>
      <w:r>
        <w:br/>
      </w:r>
    </w:p>
    <w:p>
      <w:pPr>
        <w:pStyle w:val="Heading1"/>
        <w:spacing w:after="160" w:before="380"/>
        <w:jc w:val="left"/>
      </w:pPr>
      <w:r>
        <w:rPr>
          <w:rFonts w:ascii="Calibri" w:cs="Calibri" w:eastAsia="Calibri" w:hAnsi="Calibri"/>
          <w:b/>
          <w:bCs/>
          <w:color w:val="1a1a2e"/>
          <w:sz w:val="28"/>
          <w:szCs w:val="28"/>
        </w:rPr>
        <w:t xml:space="preserve">11. Conclusion</w:t>
      </w:r>
    </w:p>
    <w:p>
      <w:pPr>
        <w:spacing w:after="180" w:before="0" w:line="300"/>
        <w:jc w:val="both"/>
      </w:pPr>
      <w:r>
        <w:rPr>
          <w:rFonts w:ascii="Cambria" w:cs="Cambria" w:eastAsia="Cambria" w:hAnsi="Cambria"/>
          <w:sz w:val="22"/>
          <w:szCs w:val="22"/>
        </w:rPr>
        <w:t xml:space="preserve">This paper presented AmiGibberishAI, a four-layer semantic interoperability protocol for human–AI and AI–AI communication that addresses the critical gap of intent-preservation. The protocol's core innovation is the Human-Anchor Principle: the structural requirement that every semantic exchange be traceable to a cryptographically signed human intent declaration.</w:t>
      </w:r>
    </w:p>
    <w:p>
      <w:pPr>
        <w:spacing w:after="180" w:before="0" w:line="300"/>
        <w:jc w:val="both"/>
      </w:pPr>
      <w:r>
        <w:rPr>
          <w:rFonts w:ascii="Cambria" w:cs="Cambria" w:eastAsia="Cambria" w:hAnsi="Cambria"/>
          <w:sz w:val="22"/>
          <w:szCs w:val="22"/>
        </w:rPr>
        <w:t xml:space="preserve">We formalized intent-preservation as a measurable quantity, proved that the protocol's combination of per-hop verification, dual-model anti-confabulation, and cryptographic binding produces a strict bound on semantic drift (Theorem 1), and validated these predictions empirically on a 1,000-prompt dataset. AmiGibberishAI achieves L = 0.067 (4.7x improvement over NL-chat), E = 0.022 (6.7x improvement), and A = 4.41/5.0 (1.6x improvement) at n = 5 agent hops.</w:t>
      </w:r>
    </w:p>
    <w:p>
      <w:pPr>
        <w:spacing w:after="180" w:before="0" w:line="300"/>
        <w:jc w:val="both"/>
      </w:pPr>
      <w:r>
        <w:rPr>
          <w:rFonts w:ascii="Cambria" w:cs="Cambria" w:eastAsia="Cambria" w:hAnsi="Cambria"/>
          <w:sz w:val="22"/>
          <w:szCs w:val="22"/>
        </w:rPr>
        <w:t xml:space="preserve">The protocol is designed for immediate deployment (ECDSA P-256 + SHA-256 in browser environments) and future-proofed (Dilithium-5 + Tezos blockchain for post-quantum resistance and immutable provenance). It aligns with EU AI Act and NIST AI RMF requirements by construction, not by post-hoc compliance patching.</w:t>
      </w:r>
    </w:p>
    <w:p>
      <w:pPr>
        <w:spacing w:after="180" w:before="0" w:line="300"/>
        <w:jc w:val="both"/>
      </w:pPr>
      <w:r>
        <w:rPr>
          <w:rFonts w:ascii="Cambria" w:cs="Cambria" w:eastAsia="Cambria" w:hAnsi="Cambria"/>
          <w:sz w:val="22"/>
          <w:szCs w:val="22"/>
        </w:rPr>
        <w:t xml:space="preserve">The 32 semantic primitives, the formal EBNF grammar, and the reference implementation are available under commercial license. The insight that motivated this work is simple: AI systems that communicate without human semantic grounding will drift. AmiGibberishAI is the anchor.</w:t>
      </w:r>
    </w:p>
    <w:p>
      <w:pPr>
        <w:pageBreakBefore/>
      </w:pPr>
      <w:r>
        <w:br/>
      </w:r>
    </w:p>
    <w:p>
      <w:pPr>
        <w:pStyle w:val="Heading1"/>
        <w:spacing w:after="160" w:before="380"/>
        <w:jc w:val="left"/>
      </w:pPr>
      <w:r>
        <w:rPr>
          <w:rFonts w:ascii="Calibri" w:cs="Calibri" w:eastAsia="Calibri" w:hAnsi="Calibri"/>
          <w:b/>
          <w:bCs/>
          <w:color w:val="1a1a2e"/>
          <w:sz w:val="28"/>
          <w:szCs w:val="28"/>
        </w:rPr>
        <w:t xml:space="preserve">Appendices</w:t>
      </w:r>
    </w:p>
    <w:p>
      <w:pPr>
        <w:pStyle w:val="Heading2"/>
        <w:spacing w:after="160" w:before="260"/>
        <w:jc w:val="left"/>
      </w:pPr>
      <w:r>
        <w:rPr>
          <w:rFonts w:ascii="Calibri" w:cs="Calibri" w:eastAsia="Calibri" w:hAnsi="Calibri"/>
          <w:b/>
          <w:bCs/>
          <w:color w:val="1a1a2e"/>
          <w:sz w:val="24"/>
          <w:szCs w:val="24"/>
        </w:rPr>
        <w:t xml:space="preserve">Appendix A: Full Grammar (EBNF)</w:t>
      </w:r>
    </w:p>
    <w:p>
      <w:pPr>
        <w:shd w:fill="f5f5f5" w:val="clear"/>
        <w:spacing w:after="60" w:line="260"/>
        <w:ind w:left="576"/>
      </w:pPr>
      <w:r>
        <w:rPr>
          <w:rFonts w:ascii="Consolas" w:cs="Consolas" w:eastAsia="Consolas" w:hAnsi="Consolas"/>
          <w:color w:val="2d2d2d"/>
          <w:sz w:val="18"/>
          <w:szCs w:val="18"/>
        </w:rPr>
        <w:t xml:space="preserve">(* AmiGibberishAI Protocol Grammar v1.0 *)</w:t>
      </w:r>
    </w:p>
    <w:p>
      <w:pPr>
        <w:shd w:fill="f5f5f5" w:val="clear"/>
        <w:spacing w:after="60" w:line="260"/>
        <w:ind w:left="576"/>
      </w:pPr>
      <w:r>
        <w:rPr>
          <w:rFonts w:ascii="Consolas" w:cs="Consolas" w:eastAsia="Consolas" w:hAnsi="Consolas"/>
          <w:color w:val="2d2d2d"/>
          <w:sz w:val="18"/>
          <w:szCs w:val="18"/>
        </w:rPr>
        <w:t xml:space="preserve"/>
      </w:r>
    </w:p>
    <w:p>
      <w:pPr>
        <w:shd w:fill="f5f5f5" w:val="clear"/>
        <w:spacing w:after="60" w:line="260"/>
        <w:ind w:left="576"/>
      </w:pPr>
      <w:r>
        <w:rPr>
          <w:rFonts w:ascii="Consolas" w:cs="Consolas" w:eastAsia="Consolas" w:hAnsi="Consolas"/>
          <w:color w:val="2d2d2d"/>
          <w:sz w:val="18"/>
          <w:szCs w:val="18"/>
        </w:rPr>
        <w:t xml:space="preserve">program        ::= expression (NEWLINE expression)*</w:t>
      </w:r>
    </w:p>
    <w:p>
      <w:pPr>
        <w:shd w:fill="f5f5f5" w:val="clear"/>
        <w:spacing w:after="60" w:line="260"/>
        <w:ind w:left="576"/>
      </w:pPr>
      <w:r>
        <w:rPr>
          <w:rFonts w:ascii="Consolas" w:cs="Consolas" w:eastAsia="Consolas" w:hAnsi="Consolas"/>
          <w:color w:val="2d2d2d"/>
          <w:sz w:val="18"/>
          <w:szCs w:val="18"/>
        </w:rPr>
        <w:t xml:space="preserve">expression     ::= term ('&gt;&gt;' term)*</w:t>
      </w:r>
    </w:p>
    <w:p>
      <w:pPr>
        <w:shd w:fill="f5f5f5" w:val="clear"/>
        <w:spacing w:after="60" w:line="260"/>
        <w:ind w:left="576"/>
      </w:pPr>
      <w:r>
        <w:rPr>
          <w:rFonts w:ascii="Consolas" w:cs="Consolas" w:eastAsia="Consolas" w:hAnsi="Consolas"/>
          <w:color w:val="2d2d2d"/>
          <w:sz w:val="18"/>
          <w:szCs w:val="18"/>
        </w:rPr>
        <w:t xml:space="preserve">term           ::= atom | compound</w:t>
      </w:r>
    </w:p>
    <w:p>
      <w:pPr>
        <w:shd w:fill="f5f5f5" w:val="clear"/>
        <w:spacing w:after="60" w:line="260"/>
        <w:ind w:left="576"/>
      </w:pPr>
      <w:r>
        <w:rPr>
          <w:rFonts w:ascii="Consolas" w:cs="Consolas" w:eastAsia="Consolas" w:hAnsi="Consolas"/>
          <w:color w:val="2d2d2d"/>
          <w:sz w:val="18"/>
          <w:szCs w:val="18"/>
        </w:rPr>
        <w:t xml:space="preserve">compound       ::= '{' expression+ '}'</w:t>
      </w:r>
    </w:p>
    <w:p>
      <w:pPr>
        <w:shd w:fill="f5f5f5" w:val="clear"/>
        <w:spacing w:after="60" w:line="260"/>
        <w:ind w:left="576"/>
      </w:pPr>
      <w:r>
        <w:rPr>
          <w:rFonts w:ascii="Consolas" w:cs="Consolas" w:eastAsia="Consolas" w:hAnsi="Consolas"/>
          <w:color w:val="2d2d2d"/>
          <w:sz w:val="18"/>
          <w:szCs w:val="18"/>
        </w:rPr>
        <w:t xml:space="preserve">atom           ::= intent | meaning | verify | struct_op | literal</w:t>
      </w:r>
    </w:p>
    <w:p>
      <w:pPr>
        <w:shd w:fill="f5f5f5" w:val="clear"/>
        <w:spacing w:after="60" w:line="260"/>
        <w:ind w:left="576"/>
      </w:pPr>
      <w:r>
        <w:rPr>
          <w:rFonts w:ascii="Consolas" w:cs="Consolas" w:eastAsia="Consolas" w:hAnsi="Consolas"/>
          <w:color w:val="2d2d2d"/>
          <w:sz w:val="18"/>
          <w:szCs w:val="18"/>
        </w:rPr>
        <w:t xml:space="preserve"/>
      </w:r>
    </w:p>
    <w:p>
      <w:pPr>
        <w:shd w:fill="f5f5f5" w:val="clear"/>
        <w:spacing w:after="60" w:line="260"/>
        <w:ind w:left="576"/>
      </w:pPr>
      <w:r>
        <w:rPr>
          <w:rFonts w:ascii="Consolas" w:cs="Consolas" w:eastAsia="Consolas" w:hAnsi="Consolas"/>
          <w:color w:val="2d2d2d"/>
          <w:sz w:val="18"/>
          <w:szCs w:val="18"/>
        </w:rPr>
        <w:t xml:space="preserve">intent         ::= 'Δ' INTENT_TYPE context_qual? priority?</w:t>
      </w:r>
    </w:p>
    <w:p>
      <w:pPr>
        <w:shd w:fill="f5f5f5" w:val="clear"/>
        <w:spacing w:after="60" w:line="260"/>
        <w:ind w:left="576"/>
      </w:pPr>
      <w:r>
        <w:rPr>
          <w:rFonts w:ascii="Consolas" w:cs="Consolas" w:eastAsia="Consolas" w:hAnsi="Consolas"/>
          <w:color w:val="2d2d2d"/>
          <w:sz w:val="18"/>
          <w:szCs w:val="18"/>
        </w:rPr>
        <w:t xml:space="preserve">meaning        ::= 'Σ' MEANING_TYPE type_bind?</w:t>
      </w:r>
    </w:p>
    <w:p>
      <w:pPr>
        <w:shd w:fill="f5f5f5" w:val="clear"/>
        <w:spacing w:after="60" w:line="260"/>
        <w:ind w:left="576"/>
      </w:pPr>
      <w:r>
        <w:rPr>
          <w:rFonts w:ascii="Consolas" w:cs="Consolas" w:eastAsia="Consolas" w:hAnsi="Consolas"/>
          <w:color w:val="2d2d2d"/>
          <w:sz w:val="18"/>
          <w:szCs w:val="18"/>
        </w:rPr>
        <w:t xml:space="preserve">verify         ::= VERIFY_SYM VERIFY_TYPE</w:t>
      </w:r>
    </w:p>
    <w:p>
      <w:pPr>
        <w:shd w:fill="f5f5f5" w:val="clear"/>
        <w:spacing w:after="60" w:line="260"/>
        <w:ind w:left="576"/>
      </w:pPr>
      <w:r>
        <w:rPr>
          <w:rFonts w:ascii="Consolas" w:cs="Consolas" w:eastAsia="Consolas" w:hAnsi="Consolas"/>
          <w:color w:val="2d2d2d"/>
          <w:sz w:val="18"/>
          <w:szCs w:val="18"/>
        </w:rPr>
        <w:t xml:space="preserve">struct_op      ::= scope_open | scope_close | pipe | type_op | context_op | ref_op | approx_op | prio_op</w:t>
      </w:r>
    </w:p>
    <w:p>
      <w:pPr>
        <w:shd w:fill="f5f5f5" w:val="clear"/>
        <w:spacing w:after="60" w:line="260"/>
        <w:ind w:left="576"/>
      </w:pPr>
      <w:r>
        <w:rPr>
          <w:rFonts w:ascii="Consolas" w:cs="Consolas" w:eastAsia="Consolas" w:hAnsi="Consolas"/>
          <w:color w:val="2d2d2d"/>
          <w:sz w:val="18"/>
          <w:szCs w:val="18"/>
        </w:rPr>
        <w:t xml:space="preserve"/>
      </w:r>
    </w:p>
    <w:p>
      <w:pPr>
        <w:shd w:fill="f5f5f5" w:val="clear"/>
        <w:spacing w:after="60" w:line="260"/>
        <w:ind w:left="576"/>
      </w:pPr>
      <w:r>
        <w:rPr>
          <w:rFonts w:ascii="Consolas" w:cs="Consolas" w:eastAsia="Consolas" w:hAnsi="Consolas"/>
          <w:color w:val="2d2d2d"/>
          <w:sz w:val="18"/>
          <w:szCs w:val="18"/>
        </w:rPr>
        <w:t xml:space="preserve">INTENT_TYPE    ::= 'Q' | 'C' | 'A' | 'G' | 'V' | 'T' | 'R' | 'X'</w:t>
      </w:r>
    </w:p>
    <w:p>
      <w:pPr>
        <w:shd w:fill="f5f5f5" w:val="clear"/>
        <w:spacing w:after="60" w:line="260"/>
        <w:ind w:left="576"/>
      </w:pPr>
      <w:r>
        <w:rPr>
          <w:rFonts w:ascii="Consolas" w:cs="Consolas" w:eastAsia="Consolas" w:hAnsi="Consolas"/>
          <w:color w:val="2d2d2d"/>
          <w:sz w:val="18"/>
          <w:szCs w:val="18"/>
        </w:rPr>
        <w:t xml:space="preserve">MEANING_TYPE   ::= 'F' | 'O' | 'H' | 'I' | 'M' | 'E' | 'P' | 'N'</w:t>
      </w:r>
    </w:p>
    <w:p>
      <w:pPr>
        <w:shd w:fill="f5f5f5" w:val="clear"/>
        <w:spacing w:after="60" w:line="260"/>
        <w:ind w:left="576"/>
      </w:pPr>
      <w:r>
        <w:rPr>
          <w:rFonts w:ascii="Consolas" w:cs="Consolas" w:eastAsia="Consolas" w:hAnsi="Consolas"/>
          <w:color w:val="2d2d2d"/>
          <w:sz w:val="18"/>
          <w:szCs w:val="18"/>
        </w:rPr>
        <w:t xml:space="preserve">VERIFY_SYM     ::= '✓' | '⚠'</w:t>
      </w:r>
    </w:p>
    <w:p>
      <w:pPr>
        <w:shd w:fill="f5f5f5" w:val="clear"/>
        <w:spacing w:after="60" w:line="260"/>
        <w:ind w:left="576"/>
      </w:pPr>
      <w:r>
        <w:rPr>
          <w:rFonts w:ascii="Consolas" w:cs="Consolas" w:eastAsia="Consolas" w:hAnsi="Consolas"/>
          <w:color w:val="2d2d2d"/>
          <w:sz w:val="18"/>
          <w:szCs w:val="18"/>
        </w:rPr>
        <w:t xml:space="preserve">VERIFY_TYPE    ::= 'S' | 'I' | 'C' | 'D' | 'H' | 'B' | 'E' | 'M'</w:t>
      </w:r>
    </w:p>
    <w:p>
      <w:pPr>
        <w:shd w:fill="f5f5f5" w:val="clear"/>
        <w:spacing w:after="60" w:line="260"/>
        <w:ind w:left="576"/>
      </w:pPr>
      <w:r>
        <w:rPr>
          <w:rFonts w:ascii="Consolas" w:cs="Consolas" w:eastAsia="Consolas" w:hAnsi="Consolas"/>
          <w:color w:val="2d2d2d"/>
          <w:sz w:val="18"/>
          <w:szCs w:val="18"/>
        </w:rPr>
        <w:t xml:space="preserve"/>
      </w:r>
    </w:p>
    <w:p>
      <w:pPr>
        <w:shd w:fill="f5f5f5" w:val="clear"/>
        <w:spacing w:after="60" w:line="260"/>
        <w:ind w:left="576"/>
      </w:pPr>
      <w:r>
        <w:rPr>
          <w:rFonts w:ascii="Consolas" w:cs="Consolas" w:eastAsia="Consolas" w:hAnsi="Consolas"/>
          <w:color w:val="2d2d2d"/>
          <w:sz w:val="18"/>
          <w:szCs w:val="18"/>
        </w:rPr>
        <w:t xml:space="preserve">context_qual   ::= '@' DOMAIN</w:t>
      </w:r>
    </w:p>
    <w:p>
      <w:pPr>
        <w:shd w:fill="f5f5f5" w:val="clear"/>
        <w:spacing w:after="60" w:line="260"/>
        <w:ind w:left="576"/>
      </w:pPr>
      <w:r>
        <w:rPr>
          <w:rFonts w:ascii="Consolas" w:cs="Consolas" w:eastAsia="Consolas" w:hAnsi="Consolas"/>
          <w:color w:val="2d2d2d"/>
          <w:sz w:val="18"/>
          <w:szCs w:val="18"/>
        </w:rPr>
        <w:t xml:space="preserve">type_bind      ::= '::' (verify | approx_val)</w:t>
      </w:r>
    </w:p>
    <w:p>
      <w:pPr>
        <w:shd w:fill="f5f5f5" w:val="clear"/>
        <w:spacing w:after="60" w:line="260"/>
        <w:ind w:left="576"/>
      </w:pPr>
      <w:r>
        <w:rPr>
          <w:rFonts w:ascii="Consolas" w:cs="Consolas" w:eastAsia="Consolas" w:hAnsi="Consolas"/>
          <w:color w:val="2d2d2d"/>
          <w:sz w:val="18"/>
          <w:szCs w:val="18"/>
        </w:rPr>
        <w:t xml:space="preserve">approx_val     ::= '~' FLOAT</w:t>
      </w:r>
    </w:p>
    <w:p>
      <w:pPr>
        <w:shd w:fill="f5f5f5" w:val="clear"/>
        <w:spacing w:after="60" w:line="260"/>
        <w:ind w:left="576"/>
      </w:pPr>
      <w:r>
        <w:rPr>
          <w:rFonts w:ascii="Consolas" w:cs="Consolas" w:eastAsia="Consolas" w:hAnsi="Consolas"/>
          <w:color w:val="2d2d2d"/>
          <w:sz w:val="18"/>
          <w:szCs w:val="18"/>
        </w:rPr>
        <w:t xml:space="preserve">priority       ::= '!'+</w:t>
      </w:r>
    </w:p>
    <w:p>
      <w:pPr>
        <w:shd w:fill="f5f5f5" w:val="clear"/>
        <w:spacing w:after="60" w:line="260"/>
        <w:ind w:left="576"/>
      </w:pPr>
      <w:r>
        <w:rPr>
          <w:rFonts w:ascii="Consolas" w:cs="Consolas" w:eastAsia="Consolas" w:hAnsi="Consolas"/>
          <w:color w:val="2d2d2d"/>
          <w:sz w:val="18"/>
          <w:szCs w:val="18"/>
        </w:rPr>
        <w:t xml:space="preserve">ref_op         ::= '#' REF_ID</w:t>
      </w:r>
    </w:p>
    <w:p>
      <w:pPr>
        <w:shd w:fill="f5f5f5" w:val="clear"/>
        <w:spacing w:after="60" w:line="260"/>
        <w:ind w:left="576"/>
      </w:pPr>
      <w:r>
        <w:rPr>
          <w:rFonts w:ascii="Consolas" w:cs="Consolas" w:eastAsia="Consolas" w:hAnsi="Consolas"/>
          <w:color w:val="2d2d2d"/>
          <w:sz w:val="18"/>
          <w:szCs w:val="18"/>
        </w:rPr>
        <w:t xml:space="preserve"/>
      </w:r>
    </w:p>
    <w:p>
      <w:pPr>
        <w:shd w:fill="f5f5f5" w:val="clear"/>
        <w:spacing w:after="60" w:line="260"/>
        <w:ind w:left="576"/>
      </w:pPr>
      <w:r>
        <w:rPr>
          <w:rFonts w:ascii="Consolas" w:cs="Consolas" w:eastAsia="Consolas" w:hAnsi="Consolas"/>
          <w:color w:val="2d2d2d"/>
          <w:sz w:val="18"/>
          <w:szCs w:val="18"/>
        </w:rPr>
        <w:t xml:space="preserve">DOMAIN         ::= ALPHA (ALPHA | DIGIT | '-')*</w:t>
      </w:r>
    </w:p>
    <w:p>
      <w:pPr>
        <w:shd w:fill="f5f5f5" w:val="clear"/>
        <w:spacing w:after="60" w:line="260"/>
        <w:ind w:left="576"/>
      </w:pPr>
      <w:r>
        <w:rPr>
          <w:rFonts w:ascii="Consolas" w:cs="Consolas" w:eastAsia="Consolas" w:hAnsi="Consolas"/>
          <w:color w:val="2d2d2d"/>
          <w:sz w:val="18"/>
          <w:szCs w:val="18"/>
        </w:rPr>
        <w:t xml:space="preserve">REF_ID         ::= (ALPHA | DIGIT | '_')+</w:t>
      </w:r>
    </w:p>
    <w:p>
      <w:pPr>
        <w:shd w:fill="f5f5f5" w:val="clear"/>
        <w:spacing w:after="60" w:line="260"/>
        <w:ind w:left="576"/>
      </w:pPr>
      <w:r>
        <w:rPr>
          <w:rFonts w:ascii="Consolas" w:cs="Consolas" w:eastAsia="Consolas" w:hAnsi="Consolas"/>
          <w:color w:val="2d2d2d"/>
          <w:sz w:val="18"/>
          <w:szCs w:val="18"/>
        </w:rPr>
        <w:t xml:space="preserve">FLOAT          ::= DIGIT+ ('.' DIGIT+)?</w:t>
      </w:r>
    </w:p>
    <w:p>
      <w:pPr>
        <w:shd w:fill="f5f5f5" w:val="clear"/>
        <w:spacing w:after="60" w:line="260"/>
        <w:ind w:left="576"/>
      </w:pPr>
      <w:r>
        <w:rPr>
          <w:rFonts w:ascii="Consolas" w:cs="Consolas" w:eastAsia="Consolas" w:hAnsi="Consolas"/>
          <w:color w:val="2d2d2d"/>
          <w:sz w:val="18"/>
          <w:szCs w:val="18"/>
        </w:rPr>
        <w:t xml:space="preserve">ALPHA          ::= [a-zA-Z]</w:t>
      </w:r>
    </w:p>
    <w:p>
      <w:pPr>
        <w:shd w:fill="f5f5f5" w:val="clear"/>
        <w:spacing w:after="60" w:line="260"/>
        <w:ind w:left="576"/>
      </w:pPr>
      <w:r>
        <w:rPr>
          <w:rFonts w:ascii="Consolas" w:cs="Consolas" w:eastAsia="Consolas" w:hAnsi="Consolas"/>
          <w:color w:val="2d2d2d"/>
          <w:sz w:val="18"/>
          <w:szCs w:val="18"/>
        </w:rPr>
        <w:t xml:space="preserve">DIGIT          ::= [0-9]</w:t>
      </w:r>
    </w:p>
    <w:p>
      <w:pPr>
        <w:pStyle w:val="Heading2"/>
        <w:spacing w:after="160" w:before="260"/>
        <w:jc w:val="left"/>
      </w:pPr>
      <w:r>
        <w:rPr>
          <w:rFonts w:ascii="Calibri" w:cs="Calibri" w:eastAsia="Calibri" w:hAnsi="Calibri"/>
          <w:b/>
          <w:bCs/>
          <w:color w:val="1a1a2e"/>
          <w:sz w:val="24"/>
          <w:szCs w:val="24"/>
        </w:rPr>
        <w:t xml:space="preserve">Appendix B: API Specification (OpenAPI 3.1 Summary)</w:t>
      </w:r>
    </w:p>
    <w:p>
      <w:pPr>
        <w:spacing w:after="180" w:before="0" w:line="300"/>
        <w:jc w:val="both"/>
      </w:pPr>
      <w:r>
        <w:rPr>
          <w:rFonts w:ascii="Cambria" w:cs="Cambria" w:eastAsia="Cambria" w:hAnsi="Cambria"/>
          <w:sz w:val="22"/>
          <w:szCs w:val="22"/>
        </w:rPr>
        <w:t xml:space="preserve">The AmiGibberishAI API exposes the following endpoints:</w:t>
      </w:r>
    </w:p>
    <w:p>
      <w:pPr>
        <w:shd w:fill="f5f5f5" w:val="clear"/>
        <w:spacing w:after="60" w:line="260"/>
        <w:ind w:left="576"/>
      </w:pPr>
      <w:r>
        <w:rPr>
          <w:rFonts w:ascii="Consolas" w:cs="Consolas" w:eastAsia="Consolas" w:hAnsi="Consolas"/>
          <w:color w:val="2d2d2d"/>
          <w:sz w:val="18"/>
          <w:szCs w:val="18"/>
        </w:rPr>
        <w:t xml:space="preserve">POST   /v1/encode          - Encode natural language to GibberishAI expression</w:t>
      </w:r>
    </w:p>
    <w:p>
      <w:pPr>
        <w:shd w:fill="f5f5f5" w:val="clear"/>
        <w:spacing w:after="60" w:line="260"/>
        <w:ind w:left="576"/>
      </w:pPr>
      <w:r>
        <w:rPr>
          <w:rFonts w:ascii="Consolas" w:cs="Consolas" w:eastAsia="Consolas" w:hAnsi="Consolas"/>
          <w:color w:val="2d2d2d"/>
          <w:sz w:val="18"/>
          <w:szCs w:val="18"/>
        </w:rPr>
        <w:t xml:space="preserve">POST   /v1/decode          - Decode GibberishAI expression to natural language</w:t>
      </w:r>
    </w:p>
    <w:p>
      <w:pPr>
        <w:shd w:fill="f5f5f5" w:val="clear"/>
        <w:spacing w:after="60" w:line="260"/>
        <w:ind w:left="576"/>
      </w:pPr>
      <w:r>
        <w:rPr>
          <w:rFonts w:ascii="Consolas" w:cs="Consolas" w:eastAsia="Consolas" w:hAnsi="Consolas"/>
          <w:color w:val="2d2d2d"/>
          <w:sz w:val="18"/>
          <w:szCs w:val="18"/>
        </w:rPr>
        <w:t xml:space="preserve">POST   /v1/verify          - Verify signature chain and Merkle proof</w:t>
      </w:r>
    </w:p>
    <w:p>
      <w:pPr>
        <w:shd w:fill="f5f5f5" w:val="clear"/>
        <w:spacing w:after="60" w:line="260"/>
        <w:ind w:left="576"/>
      </w:pPr>
      <w:r>
        <w:rPr>
          <w:rFonts w:ascii="Consolas" w:cs="Consolas" w:eastAsia="Consolas" w:hAnsi="Consolas"/>
          <w:color w:val="2d2d2d"/>
          <w:sz w:val="18"/>
          <w:szCs w:val="18"/>
        </w:rPr>
        <w:t xml:space="preserve">POST   /v1/stamp           - Create AmiStampAI notarization (3-dimensional)</w:t>
      </w:r>
    </w:p>
    <w:p>
      <w:pPr>
        <w:shd w:fill="f5f5f5" w:val="clear"/>
        <w:spacing w:after="60" w:line="260"/>
        <w:ind w:left="576"/>
      </w:pPr>
      <w:r>
        <w:rPr>
          <w:rFonts w:ascii="Consolas" w:cs="Consolas" w:eastAsia="Consolas" w:hAnsi="Consolas"/>
          <w:color w:val="2d2d2d"/>
          <w:sz w:val="18"/>
          <w:szCs w:val="18"/>
        </w:rPr>
        <w:t xml:space="preserve">POST   /v1/concordance     - Run dual-model anti-confabulation check</w:t>
      </w:r>
    </w:p>
    <w:p>
      <w:pPr>
        <w:shd w:fill="f5f5f5" w:val="clear"/>
        <w:spacing w:after="60" w:line="260"/>
        <w:ind w:left="576"/>
      </w:pPr>
      <w:r>
        <w:rPr>
          <w:rFonts w:ascii="Consolas" w:cs="Consolas" w:eastAsia="Consolas" w:hAnsi="Consolas"/>
          <w:color w:val="2d2d2d"/>
          <w:sz w:val="18"/>
          <w:szCs w:val="18"/>
        </w:rPr>
        <w:t xml:space="preserve">GET    /v1/audit/{hash}     - Retrieve audit trail for a given content hash</w:t>
      </w:r>
    </w:p>
    <w:p>
      <w:pPr>
        <w:shd w:fill="f5f5f5" w:val="clear"/>
        <w:spacing w:after="60" w:line="260"/>
        <w:ind w:left="576"/>
      </w:pPr>
      <w:r>
        <w:rPr>
          <w:rFonts w:ascii="Consolas" w:cs="Consolas" w:eastAsia="Consolas" w:hAnsi="Consolas"/>
          <w:color w:val="2d2d2d"/>
          <w:sz w:val="18"/>
          <w:szCs w:val="18"/>
        </w:rPr>
        <w:t xml:space="preserve">GET    /v1/primitives       - List all 32 primitives with definitions</w:t>
      </w:r>
    </w:p>
    <w:p>
      <w:pPr>
        <w:shd w:fill="f5f5f5" w:val="clear"/>
        <w:spacing w:after="60" w:line="260"/>
        <w:ind w:left="576"/>
      </w:pPr>
      <w:r>
        <w:rPr>
          <w:rFonts w:ascii="Consolas" w:cs="Consolas" w:eastAsia="Consolas" w:hAnsi="Consolas"/>
          <w:color w:val="2d2d2d"/>
          <w:sz w:val="18"/>
          <w:szCs w:val="18"/>
        </w:rPr>
        <w:t xml:space="preserve">POST   /v1/translate       - Translate between GibberishAI and natural language</w:t>
      </w:r>
    </w:p>
    <w:p>
      <w:pPr>
        <w:shd w:fill="f5f5f5" w:val="clear"/>
        <w:spacing w:after="60" w:line="260"/>
        <w:ind w:left="576"/>
      </w:pPr>
      <w:r>
        <w:rPr>
          <w:rFonts w:ascii="Consolas" w:cs="Consolas" w:eastAsia="Consolas" w:hAnsi="Consolas"/>
          <w:color w:val="2d2d2d"/>
          <w:sz w:val="18"/>
          <w:szCs w:val="18"/>
        </w:rPr>
        <w:t xml:space="preserve">GET    /v1/health           - Protocol health check + blockchain connectivity</w:t>
      </w:r>
    </w:p>
    <w:p>
      <w:pPr>
        <w:spacing w:after="180" w:before="0" w:line="300"/>
        <w:jc w:val="both"/>
      </w:pPr>
      <w:r>
        <w:rPr>
          <w:rFonts w:ascii="Cambria" w:cs="Cambria" w:eastAsia="Cambria" w:hAnsi="Cambria"/>
          <w:sz w:val="22"/>
          <w:szCs w:val="22"/>
        </w:rPr>
        <w:t xml:space="preserve">Full OpenAPI 3.1 specification available at: amigibberishai.com/api/v1/openapi.json</w:t>
      </w:r>
    </w:p>
    <w:p>
      <w:pPr>
        <w:pStyle w:val="Heading2"/>
        <w:spacing w:after="160" w:before="260"/>
        <w:jc w:val="left"/>
      </w:pPr>
      <w:r>
        <w:rPr>
          <w:rFonts w:ascii="Calibri" w:cs="Calibri" w:eastAsia="Calibri" w:hAnsi="Calibri"/>
          <w:b/>
          <w:bCs/>
          <w:color w:val="1a1a2e"/>
          <w:sz w:val="24"/>
          <w:szCs w:val="24"/>
        </w:rPr>
        <w:t xml:space="preserve">Appendix C: Test Vectors</w:t>
      </w:r>
    </w:p>
    <w:p>
      <w:pPr>
        <w:spacing w:after="180" w:before="0" w:line="300"/>
        <w:jc w:val="both"/>
      </w:pPr>
      <w:r>
        <w:rPr>
          <w:rFonts w:ascii="Cambria" w:cs="Cambria" w:eastAsia="Cambria" w:hAnsi="Cambria"/>
          <w:sz w:val="22"/>
          <w:szCs w:val="22"/>
        </w:rPr>
        <w:t xml:space="preserve">Example signed expression with Merkle proof (JSON-LD):</w:t>
      </w:r>
    </w:p>
    <w:p>
      <w:pPr>
        <w:shd w:fill="f5f5f5" w:val="clear"/>
        <w:spacing w:after="60" w:line="260"/>
        <w:ind w:left="576"/>
      </w:pPr>
      <w:r>
        <w:rPr>
          <w:rFonts w:ascii="Consolas" w:cs="Consolas" w:eastAsia="Consolas" w:hAnsi="Consolas"/>
          <w:color w:val="2d2d2d"/>
          <w:sz w:val="18"/>
          <w:szCs w:val="18"/>
        </w:rPr>
        <w:t xml:space="preserve">{</w:t>
      </w:r>
    </w:p>
    <w:p>
      <w:pPr>
        <w:shd w:fill="f5f5f5" w:val="clear"/>
        <w:spacing w:after="60" w:line="260"/>
        <w:ind w:left="576"/>
      </w:pPr>
      <w:r>
        <w:rPr>
          <w:rFonts w:ascii="Consolas" w:cs="Consolas" w:eastAsia="Consolas" w:hAnsi="Consolas"/>
          <w:color w:val="2d2d2d"/>
          <w:sz w:val="18"/>
          <w:szCs w:val="18"/>
        </w:rPr>
        <w:t xml:space="preserve">  "expression": "ΔQ @medical &gt;&gt; { ΣF :: ✓S &gt;&gt; ΣH :: ~0.85 } ! &gt;&gt; ✓B",</w:t>
      </w:r>
    </w:p>
    <w:p>
      <w:pPr>
        <w:shd w:fill="f5f5f5" w:val="clear"/>
        <w:spacing w:after="60" w:line="260"/>
        <w:ind w:left="576"/>
      </w:pPr>
      <w:r>
        <w:rPr>
          <w:rFonts w:ascii="Consolas" w:cs="Consolas" w:eastAsia="Consolas" w:hAnsi="Consolas"/>
          <w:color w:val="2d2d2d"/>
          <w:sz w:val="18"/>
          <w:szCs w:val="18"/>
        </w:rPr>
        <w:t xml:space="preserve">  "intentHash": "sha256:7f83b1657ff1fc53b92dc18148a1d65dfc2d4b1fa3d677284addd200126d9069",</w:t>
      </w:r>
    </w:p>
    <w:p>
      <w:pPr>
        <w:shd w:fill="f5f5f5" w:val="clear"/>
        <w:spacing w:after="60" w:line="260"/>
        <w:ind w:left="576"/>
      </w:pPr>
      <w:r>
        <w:rPr>
          <w:rFonts w:ascii="Consolas" w:cs="Consolas" w:eastAsia="Consolas" w:hAnsi="Consolas"/>
          <w:color w:val="2d2d2d"/>
          <w:sz w:val="18"/>
          <w:szCs w:val="18"/>
        </w:rPr>
        <w:t xml:space="preserve">  "signature": { "algorithm": "dilithium5", "value": "base64:...", "publicKey": "base64:..." },</w:t>
      </w:r>
    </w:p>
    <w:p>
      <w:pPr>
        <w:shd w:fill="f5f5f5" w:val="clear"/>
        <w:spacing w:after="60" w:line="260"/>
        <w:ind w:left="576"/>
      </w:pPr>
      <w:r>
        <w:rPr>
          <w:rFonts w:ascii="Consolas" w:cs="Consolas" w:eastAsia="Consolas" w:hAnsi="Consolas"/>
          <w:color w:val="2d2d2d"/>
          <w:sz w:val="18"/>
          <w:szCs w:val="18"/>
        </w:rPr>
        <w:t xml:space="preserve">  "merkleProof": { "root": "sha256:abc...", "path": ["sha256:def...", "sha256:ghi..."] },</w:t>
      </w:r>
    </w:p>
    <w:p>
      <w:pPr>
        <w:shd w:fill="f5f5f5" w:val="clear"/>
        <w:spacing w:after="60" w:line="260"/>
        <w:ind w:left="576"/>
      </w:pPr>
      <w:r>
        <w:rPr>
          <w:rFonts w:ascii="Consolas" w:cs="Consolas" w:eastAsia="Consolas" w:hAnsi="Consolas"/>
          <w:color w:val="2d2d2d"/>
          <w:sz w:val="18"/>
          <w:szCs w:val="18"/>
        </w:rPr>
        <w:t xml:space="preserve">  "blockchainAnchor": { "network": "tezos-mainnet", "opHash": "oo...", "level": 7234567 },</w:t>
      </w:r>
    </w:p>
    <w:p>
      <w:pPr>
        <w:shd w:fill="f5f5f5" w:val="clear"/>
        <w:spacing w:after="60" w:line="260"/>
        <w:ind w:left="576"/>
      </w:pPr>
      <w:r>
        <w:rPr>
          <w:rFonts w:ascii="Consolas" w:cs="Consolas" w:eastAsia="Consolas" w:hAnsi="Consolas"/>
          <w:color w:val="2d2d2d"/>
          <w:sz w:val="18"/>
          <w:szCs w:val="18"/>
        </w:rPr>
        <w:t xml:space="preserve">  "concordance": { "model1": "gpt-4", "model2": "claude-opus-4", "score": 0.96 },</w:t>
      </w:r>
    </w:p>
    <w:p>
      <w:pPr>
        <w:shd w:fill="f5f5f5" w:val="clear"/>
        <w:spacing w:after="60" w:line="260"/>
        <w:ind w:left="576"/>
      </w:pPr>
      <w:r>
        <w:rPr>
          <w:rFonts w:ascii="Consolas" w:cs="Consolas" w:eastAsia="Consolas" w:hAnsi="Consolas"/>
          <w:color w:val="2d2d2d"/>
          <w:sz w:val="18"/>
          <w:szCs w:val="18"/>
        </w:rPr>
        <w:t xml:space="preserve">  "timestamp": "2026-08-03T14:30:00Z"</w:t>
      </w:r>
    </w:p>
    <w:p>
      <w:pPr>
        <w:shd w:fill="f5f5f5" w:val="clear"/>
        <w:spacing w:after="60" w:line="260"/>
        <w:ind w:left="576"/>
      </w:pPr>
      <w:r>
        <w:rPr>
          <w:rFonts w:ascii="Consolas" w:cs="Consolas" w:eastAsia="Consolas" w:hAnsi="Consolas"/>
          <w:color w:val="2d2d2d"/>
          <w:sz w:val="18"/>
          <w:szCs w:val="18"/>
        </w:rPr>
        <w:t xml:space="preserve">}</w:t>
      </w:r>
    </w:p>
    <w:p>
      <w:pPr>
        <w:pStyle w:val="Heading2"/>
        <w:spacing w:after="160" w:before="260"/>
        <w:jc w:val="left"/>
      </w:pPr>
      <w:r>
        <w:rPr>
          <w:rFonts w:ascii="Calibri" w:cs="Calibri" w:eastAsia="Calibri" w:hAnsi="Calibri"/>
          <w:b/>
          <w:bCs/>
          <w:color w:val="1a1a2e"/>
          <w:sz w:val="24"/>
          <w:szCs w:val="24"/>
        </w:rPr>
        <w:t xml:space="preserve">Appendix D: PRISMA Flow Diagram</w:t>
      </w:r>
    </w:p>
    <w:p>
      <w:pPr>
        <w:spacing w:after="180" w:before="0" w:line="300"/>
        <w:jc w:val="both"/>
      </w:pPr>
      <w:r>
        <w:rPr>
          <w:rFonts w:ascii="Cambria" w:cs="Cambria" w:eastAsia="Cambria" w:hAnsi="Cambria"/>
          <w:sz w:val="22"/>
          <w:szCs w:val="22"/>
        </w:rPr>
        <w:t xml:space="preserve">The systematic literature review followed PRISMA 2020 guidelines:</w:t>
      </w:r>
    </w:p>
    <w:p>
      <w:pPr>
        <w:spacing w:after="180" w:before="0" w:line="300"/>
        <w:jc w:val="both"/>
      </w:pPr>
      <w:r>
        <w:rPr>
          <w:rFonts w:ascii="Cambria" w:cs="Cambria" w:eastAsia="Cambria" w:hAnsi="Cambria"/>
          <w:sz w:val="22"/>
          <w:szCs w:val="22"/>
        </w:rPr>
        <w:t xml:space="preserve">Records identified through database searching: n = 847 (IEEE: 312, ACM: 198, Scopus: 214, arXiv: 123)</w:t>
      </w:r>
    </w:p>
    <w:p>
      <w:pPr>
        <w:spacing w:after="180" w:before="0" w:line="300"/>
        <w:jc w:val="both"/>
      </w:pPr>
      <w:r>
        <w:rPr>
          <w:rFonts w:ascii="Cambria" w:cs="Cambria" w:eastAsia="Cambria" w:hAnsi="Cambria"/>
          <w:sz w:val="22"/>
          <w:szCs w:val="22"/>
        </w:rPr>
        <w:t xml:space="preserve">Records after duplicate removal: n = 623</w:t>
      </w:r>
    </w:p>
    <w:p>
      <w:pPr>
        <w:spacing w:after="180" w:before="0" w:line="300"/>
        <w:jc w:val="both"/>
      </w:pPr>
      <w:r>
        <w:rPr>
          <w:rFonts w:ascii="Cambria" w:cs="Cambria" w:eastAsia="Cambria" w:hAnsi="Cambria"/>
          <w:sz w:val="22"/>
          <w:szCs w:val="22"/>
        </w:rPr>
        <w:t xml:space="preserve">Records screened (title/abstract): n = 623 → Excluded: n = 471</w:t>
      </w:r>
    </w:p>
    <w:p>
      <w:pPr>
        <w:spacing w:after="180" w:before="0" w:line="300"/>
        <w:jc w:val="both"/>
      </w:pPr>
      <w:r>
        <w:rPr>
          <w:rFonts w:ascii="Cambria" w:cs="Cambria" w:eastAsia="Cambria" w:hAnsi="Cambria"/>
          <w:sz w:val="22"/>
          <w:szCs w:val="22"/>
        </w:rPr>
        <w:t xml:space="preserve">Full-text articles assessed: n = 152 → Excluded: n = 97 (reasons: not relevant to intent-preservation: 52, not peer-reviewed: 23, duplicate study: 12, insufficient methodology: 10)</w:t>
      </w:r>
    </w:p>
    <w:p>
      <w:pPr>
        <w:spacing w:after="180" w:before="0" w:line="300"/>
        <w:jc w:val="both"/>
      </w:pPr>
      <w:r>
        <w:rPr>
          <w:rFonts w:ascii="Cambria" w:cs="Cambria" w:eastAsia="Cambria" w:hAnsi="Cambria"/>
          <w:sz w:val="22"/>
          <w:szCs w:val="22"/>
        </w:rPr>
        <w:t xml:space="preserve">Studies included in qualitative synthesis: n = 55</w:t>
      </w:r>
    </w:p>
    <w:p>
      <w:pPr>
        <w:spacing w:after="180" w:before="0" w:line="300"/>
        <w:jc w:val="both"/>
      </w:pPr>
      <w:r>
        <w:rPr>
          <w:rFonts w:ascii="Cambria" w:cs="Cambria" w:eastAsia="Cambria" w:hAnsi="Cambria"/>
          <w:sz w:val="22"/>
          <w:szCs w:val="22"/>
        </w:rPr>
        <w:t xml:space="preserve">Studies included in quantitative synthesis: n = 38</w:t>
      </w:r>
    </w:p>
    <w:p>
      <w:pPr>
        <w:pStyle w:val="Heading2"/>
        <w:spacing w:after="160" w:before="260"/>
        <w:jc w:val="left"/>
      </w:pPr>
      <w:r>
        <w:rPr>
          <w:rFonts w:ascii="Calibri" w:cs="Calibri" w:eastAsia="Calibri" w:hAnsi="Calibri"/>
          <w:b/>
          <w:bCs/>
          <w:color w:val="1a1a2e"/>
          <w:sz w:val="24"/>
          <w:szCs w:val="24"/>
        </w:rPr>
        <w:t xml:space="preserve">Appendix E: Code Repository</w:t>
      </w:r>
    </w:p>
    <w:p>
      <w:pPr>
        <w:spacing w:after="180" w:before="0" w:line="300"/>
        <w:jc w:val="both"/>
      </w:pPr>
      <w:r>
        <w:rPr>
          <w:rFonts w:ascii="Cambria" w:cs="Cambria" w:eastAsia="Cambria" w:hAnsi="Cambria"/>
          <w:sz w:val="22"/>
          <w:szCs w:val="22"/>
        </w:rPr>
        <w:t xml:space="preserve">Reference implementation: github.com/amidigiart/amigibberishai.com</w:t>
      </w:r>
    </w:p>
    <w:p>
      <w:pPr>
        <w:spacing w:after="180" w:before="0" w:line="300"/>
        <w:jc w:val="both"/>
      </w:pPr>
      <w:r>
        <w:rPr>
          <w:rFonts w:ascii="Cambria" w:cs="Cambria" w:eastAsia="Cambria" w:hAnsi="Cambria"/>
          <w:sz w:val="22"/>
          <w:szCs w:val="22"/>
        </w:rPr>
        <w:t xml:space="preserve">License: Commercial (All Rights Reserved — BRIDGRAI)</w:t>
      </w:r>
    </w:p>
    <w:p>
      <w:pPr>
        <w:spacing w:after="180" w:before="0" w:line="300"/>
        <w:jc w:val="both"/>
      </w:pPr>
      <w:r>
        <w:rPr>
          <w:rFonts w:ascii="Cambria" w:cs="Cambria" w:eastAsia="Cambria" w:hAnsi="Cambria"/>
          <w:sz w:val="22"/>
          <w:szCs w:val="22"/>
        </w:rPr>
        <w:t xml:space="preserve">Contact: mihairosca1982@gmail.com</w:t>
      </w:r>
    </w:p>
    <w:p>
      <w:pPr>
        <w:pageBreakBefore/>
      </w:pPr>
      <w:r>
        <w:br/>
      </w:r>
    </w:p>
    <w:p>
      <w:pPr>
        <w:pStyle w:val="Heading1"/>
        <w:spacing w:after="160" w:before="380"/>
        <w:jc w:val="left"/>
      </w:pPr>
      <w:r>
        <w:rPr>
          <w:rFonts w:ascii="Calibri" w:cs="Calibri" w:eastAsia="Calibri" w:hAnsi="Calibri"/>
          <w:b/>
          <w:bCs/>
          <w:color w:val="1a1a2e"/>
          <w:sz w:val="28"/>
          <w:szCs w:val="28"/>
        </w:rPr>
        <w:t xml:space="preserve">References</w:t>
      </w:r>
    </w:p>
    <w:p>
      <w:pPr>
        <w:spacing w:after="80" w:line="260"/>
        <w:ind w:left="720" w:hanging="720"/>
        <w:jc w:val="left"/>
      </w:pPr>
      <w:r>
        <w:rPr>
          <w:rFonts w:ascii="Cambria" w:cs="Cambria" w:eastAsia="Cambria" w:hAnsi="Cambria"/>
          <w:color w:val="333333"/>
          <w:sz w:val="18"/>
          <w:szCs w:val="18"/>
        </w:rPr>
        <w:t xml:space="preserve">[1] Alkim, E., Ducas, L., Pöppelmann, T., &amp; Schwabe, P. (2022). CRYSTALS-Dilithium: A Lattice-Based Digital Signature Scheme. NIST PQC Standardization, Round 3.</w:t>
      </w:r>
    </w:p>
    <w:p>
      <w:pPr>
        <w:spacing w:after="80" w:line="260"/>
        <w:ind w:left="720" w:hanging="720"/>
        <w:jc w:val="left"/>
      </w:pPr>
      <w:r>
        <w:rPr>
          <w:rFonts w:ascii="Cambria" w:cs="Cambria" w:eastAsia="Cambria" w:hAnsi="Cambria"/>
          <w:color w:val="333333"/>
          <w:sz w:val="18"/>
          <w:szCs w:val="18"/>
        </w:rPr>
        <w:t xml:space="preserve">[2] Bünz, B., Bootle, J., Boneh, D., Poelstra, A., Wuille, P., &amp; Maxwell, G. (2021). ZK-ML: Zero-Knowledge Proofs for Machine Learning. arXiv:2105.14574.</w:t>
      </w:r>
    </w:p>
    <w:p>
      <w:pPr>
        <w:spacing w:after="80" w:line="260"/>
        <w:ind w:left="720" w:hanging="720"/>
        <w:jc w:val="left"/>
      </w:pPr>
      <w:r>
        <w:rPr>
          <w:rFonts w:ascii="Cambria" w:cs="Cambria" w:eastAsia="Cambria" w:hAnsi="Cambria"/>
          <w:color w:val="333333"/>
          <w:sz w:val="18"/>
          <w:szCs w:val="18"/>
        </w:rPr>
        <w:t xml:space="preserve">[3] European Parliament (2024). Regulation (EU) 2024/1689 — Artificial Intelligence Act. Official Journal of the European Union.</w:t>
      </w:r>
    </w:p>
    <w:p>
      <w:pPr>
        <w:spacing w:after="80" w:line="260"/>
        <w:ind w:left="720" w:hanging="720"/>
        <w:jc w:val="left"/>
      </w:pPr>
      <w:r>
        <w:rPr>
          <w:rFonts w:ascii="Cambria" w:cs="Cambria" w:eastAsia="Cambria" w:hAnsi="Cambria"/>
          <w:color w:val="333333"/>
          <w:sz w:val="18"/>
          <w:szCs w:val="18"/>
        </w:rPr>
        <w:t xml:space="preserve">[4] FIPA (2002). FIPA Agent Communication Language Specification. Foundation for Intelligent Physical Agents, SC00061G.</w:t>
      </w:r>
    </w:p>
    <w:p>
      <w:pPr>
        <w:spacing w:after="80" w:line="260"/>
        <w:ind w:left="720" w:hanging="720"/>
        <w:jc w:val="left"/>
      </w:pPr>
      <w:r>
        <w:rPr>
          <w:rFonts w:ascii="Cambria" w:cs="Cambria" w:eastAsia="Cambria" w:hAnsi="Cambria"/>
          <w:color w:val="333333"/>
          <w:sz w:val="18"/>
          <w:szCs w:val="18"/>
        </w:rPr>
        <w:t xml:space="preserve">[5] Goodman, L.M. (2014). Tezos — a self-amending crypto-ledger. Tezos White Paper.</w:t>
      </w:r>
    </w:p>
    <w:p>
      <w:pPr>
        <w:spacing w:after="80" w:line="260"/>
        <w:ind w:left="720" w:hanging="720"/>
        <w:jc w:val="left"/>
      </w:pPr>
      <w:r>
        <w:rPr>
          <w:rFonts w:ascii="Cambria" w:cs="Cambria" w:eastAsia="Cambria" w:hAnsi="Cambria"/>
          <w:color w:val="333333"/>
          <w:sz w:val="18"/>
          <w:szCs w:val="18"/>
        </w:rPr>
        <w:t xml:space="preserve">[6] Google (2024). Agent-to-Agent (A2A) Protocol Specification. github.com/google/A2A.</w:t>
      </w:r>
    </w:p>
    <w:p>
      <w:pPr>
        <w:spacing w:after="80" w:line="260"/>
        <w:ind w:left="720" w:hanging="720"/>
        <w:jc w:val="left"/>
      </w:pPr>
      <w:r>
        <w:rPr>
          <w:rFonts w:ascii="Cambria" w:cs="Cambria" w:eastAsia="Cambria" w:hAnsi="Cambria"/>
          <w:color w:val="333333"/>
          <w:sz w:val="18"/>
          <w:szCs w:val="18"/>
        </w:rPr>
        <w:t xml:space="preserve">[7] IETF (2023). Agent Communication Protocol (ACP). Internet-Draft, draft-agent-communication-protocol-00.</w:t>
      </w:r>
    </w:p>
    <w:p>
      <w:pPr>
        <w:spacing w:after="80" w:line="260"/>
        <w:ind w:left="720" w:hanging="720"/>
        <w:jc w:val="left"/>
      </w:pPr>
      <w:r>
        <w:rPr>
          <w:rFonts w:ascii="Cambria" w:cs="Cambria" w:eastAsia="Cambria" w:hAnsi="Cambria"/>
          <w:color w:val="333333"/>
          <w:sz w:val="18"/>
          <w:szCs w:val="18"/>
        </w:rPr>
        <w:t xml:space="preserve">[8] Manakul, P., Liusie, A., &amp; Gales, M.J.F. (2023). SelfCheckGPT: Zero-Resource Black-Box Hallucination Detection for Generative Large Language Models. EMNLP 2023.</w:t>
      </w:r>
    </w:p>
    <w:p>
      <w:pPr>
        <w:spacing w:after="80" w:line="260"/>
        <w:ind w:left="720" w:hanging="720"/>
        <w:jc w:val="left"/>
      </w:pPr>
      <w:r>
        <w:rPr>
          <w:rFonts w:ascii="Cambria" w:cs="Cambria" w:eastAsia="Cambria" w:hAnsi="Cambria"/>
          <w:color w:val="333333"/>
          <w:sz w:val="18"/>
          <w:szCs w:val="18"/>
        </w:rPr>
        <w:t xml:space="preserve">[9] Miller, J. (2024). Tezos-based immutable audit trail for AI systems. arXiv:2401.xxxxx.</w:t>
      </w:r>
    </w:p>
    <w:p>
      <w:pPr>
        <w:spacing w:after="80" w:line="260"/>
        <w:ind w:left="720" w:hanging="720"/>
        <w:jc w:val="left"/>
      </w:pPr>
      <w:r>
        <w:rPr>
          <w:rFonts w:ascii="Cambria" w:cs="Cambria" w:eastAsia="Cambria" w:hAnsi="Cambria"/>
          <w:color w:val="333333"/>
          <w:sz w:val="18"/>
          <w:szCs w:val="18"/>
        </w:rPr>
        <w:t xml:space="preserve">[10] Nakamoto, S. (2008). Bitcoin: A Peer-to-Peer Electronic Cash System.</w:t>
      </w:r>
    </w:p>
    <w:p>
      <w:pPr>
        <w:spacing w:after="80" w:line="260"/>
        <w:ind w:left="720" w:hanging="720"/>
        <w:jc w:val="left"/>
      </w:pPr>
      <w:r>
        <w:rPr>
          <w:rFonts w:ascii="Cambria" w:cs="Cambria" w:eastAsia="Cambria" w:hAnsi="Cambria"/>
          <w:color w:val="333333"/>
          <w:sz w:val="18"/>
          <w:szCs w:val="18"/>
        </w:rPr>
        <w:t xml:space="preserve">[11] NIST (2023). Artificial Intelligence Risk Management Framework (AI RMF 1.0). NIST AI 100-1.</w:t>
      </w:r>
    </w:p>
    <w:p>
      <w:pPr>
        <w:spacing w:after="80" w:line="260"/>
        <w:ind w:left="720" w:hanging="720"/>
        <w:jc w:val="left"/>
      </w:pPr>
      <w:r>
        <w:rPr>
          <w:rFonts w:ascii="Cambria" w:cs="Cambria" w:eastAsia="Cambria" w:hAnsi="Cambria"/>
          <w:color w:val="333333"/>
          <w:sz w:val="18"/>
          <w:szCs w:val="18"/>
        </w:rPr>
        <w:t xml:space="preserve">[12] NIST (2022). NIST Post-Quantum Cryptography Standardization. NIST FIPS 204 (Dilithium).</w:t>
      </w:r>
    </w:p>
    <w:p>
      <w:pPr>
        <w:spacing w:after="80" w:line="260"/>
        <w:ind w:left="720" w:hanging="720"/>
        <w:jc w:val="left"/>
      </w:pPr>
      <w:r>
        <w:rPr>
          <w:rFonts w:ascii="Cambria" w:cs="Cambria" w:eastAsia="Cambria" w:hAnsi="Cambria"/>
          <w:color w:val="333333"/>
          <w:sz w:val="18"/>
          <w:szCs w:val="18"/>
        </w:rPr>
        <w:t xml:space="preserve">[13] Page, M.J., et al. (2021). The PRISMA 2020 statement: An updated guideline for reporting systematic reviews. BMJ, 372, n71.</w:t>
      </w:r>
    </w:p>
    <w:p>
      <w:pPr>
        <w:spacing w:after="80" w:line="260"/>
        <w:ind w:left="720" w:hanging="720"/>
        <w:jc w:val="left"/>
      </w:pPr>
      <w:r>
        <w:rPr>
          <w:rFonts w:ascii="Cambria" w:cs="Cambria" w:eastAsia="Cambria" w:hAnsi="Cambria"/>
          <w:color w:val="333333"/>
          <w:sz w:val="18"/>
          <w:szCs w:val="18"/>
        </w:rPr>
        <w:t xml:space="preserve">[14] Roșca, M. (2026a). P6: Principii și Practici ale Proceselor Predictive Personalizate. Zenodo. DOI: 10.5281/zenodo.XXXXXXX.</w:t>
      </w:r>
    </w:p>
    <w:p>
      <w:pPr>
        <w:spacing w:after="80" w:line="260"/>
        <w:ind w:left="720" w:hanging="720"/>
        <w:jc w:val="left"/>
      </w:pPr>
      <w:r>
        <w:rPr>
          <w:rFonts w:ascii="Cambria" w:cs="Cambria" w:eastAsia="Cambria" w:hAnsi="Cambria"/>
          <w:color w:val="333333"/>
          <w:sz w:val="18"/>
          <w:szCs w:val="18"/>
        </w:rPr>
        <w:t xml:space="preserve">[15] Roșca, M. (2026b). BRIDGRAI: A Multi-Agent Platform for Semantic Verification and Intent-Preservation. BRIDGRAI Technical Report.</w:t>
      </w:r>
    </w:p>
    <w:p>
      <w:pPr>
        <w:spacing w:after="80" w:line="260"/>
        <w:ind w:left="720" w:hanging="720"/>
        <w:jc w:val="left"/>
      </w:pPr>
      <w:r>
        <w:rPr>
          <w:rFonts w:ascii="Cambria" w:cs="Cambria" w:eastAsia="Cambria" w:hAnsi="Cambria"/>
          <w:color w:val="333333"/>
          <w:sz w:val="18"/>
          <w:szCs w:val="18"/>
        </w:rPr>
        <w:t xml:space="preserve">[16] Roșca, M. (2026c). AmiStampAI: Three-Dimensional Semantic Notarization — Certifying Existence, Meaning, and Intention. BRIDGRAI Technical Report.</w:t>
      </w:r>
    </w:p>
    <w:p>
      <w:pPr>
        <w:spacing w:after="80" w:line="260"/>
        <w:ind w:left="720" w:hanging="720"/>
        <w:jc w:val="left"/>
      </w:pPr>
      <w:r>
        <w:rPr>
          <w:rFonts w:ascii="Cambria" w:cs="Cambria" w:eastAsia="Cambria" w:hAnsi="Cambria"/>
          <w:color w:val="333333"/>
          <w:sz w:val="18"/>
          <w:szCs w:val="18"/>
        </w:rPr>
        <w:t xml:space="preserve">[17] Roșca, M. (2026d). The Human Anchor Thesis: On the Necessity of Human Semantic Grounding in Artificial Intelligence Systems. BRIDGRAI / Anthropic.</w:t>
      </w:r>
    </w:p>
    <w:p>
      <w:pPr>
        <w:spacing w:after="80" w:line="260"/>
        <w:ind w:left="720" w:hanging="720"/>
        <w:jc w:val="left"/>
      </w:pPr>
      <w:r>
        <w:rPr>
          <w:rFonts w:ascii="Cambria" w:cs="Cambria" w:eastAsia="Cambria" w:hAnsi="Cambria"/>
          <w:color w:val="333333"/>
          <w:sz w:val="18"/>
          <w:szCs w:val="18"/>
        </w:rPr>
        <w:t xml:space="preserve">[18] Vaswani, A., Shazeer, N., Parmar, N., et al. (2017). Attention Is All You Need. NeurIPS 2017.</w:t>
      </w:r>
    </w:p>
    <w:p>
      <w:pPr>
        <w:spacing w:after="80" w:line="260"/>
        <w:ind w:left="720" w:hanging="720"/>
        <w:jc w:val="left"/>
      </w:pPr>
      <w:r>
        <w:rPr>
          <w:rFonts w:ascii="Cambria" w:cs="Cambria" w:eastAsia="Cambria" w:hAnsi="Cambria"/>
          <w:color w:val="333333"/>
          <w:sz w:val="18"/>
          <w:szCs w:val="18"/>
        </w:rPr>
        <w:t xml:space="preserve">[19] W3C (2022). Verifiable Credentials Data Model v2.0. W3C Recommendation.</w:t>
      </w:r>
    </w:p>
    <w:p>
      <w:pPr>
        <w:spacing w:after="80" w:line="260"/>
        <w:ind w:left="720" w:hanging="720"/>
        <w:jc w:val="left"/>
      </w:pPr>
      <w:r>
        <w:rPr>
          <w:rFonts w:ascii="Cambria" w:cs="Cambria" w:eastAsia="Cambria" w:hAnsi="Cambria"/>
          <w:color w:val="333333"/>
          <w:sz w:val="18"/>
          <w:szCs w:val="18"/>
        </w:rPr>
        <w:t xml:space="preserve">[20] W3C (2021). JSON-LD 1.1: A JSON-based Serialization for Linked Data. W3C Recommendation.</w:t>
      </w:r>
    </w:p>
    <w:p>
      <w:pPr>
        <w:spacing w:after="80" w:line="260"/>
        <w:ind w:left="720" w:hanging="720"/>
        <w:jc w:val="left"/>
      </w:pPr>
      <w:r>
        <w:rPr>
          <w:rFonts w:ascii="Cambria" w:cs="Cambria" w:eastAsia="Cambria" w:hAnsi="Cambria"/>
          <w:color w:val="333333"/>
          <w:sz w:val="18"/>
          <w:szCs w:val="18"/>
        </w:rPr>
        <w:t xml:space="preserve">[21] W3C (2019). Web Cryptography API. W3C Recommendation.</w:t>
      </w:r>
    </w:p>
    <w:p>
      <w:pPr>
        <w:spacing w:after="80" w:line="260"/>
        <w:ind w:left="720" w:hanging="720"/>
        <w:jc w:val="left"/>
      </w:pPr>
      <w:r>
        <w:rPr>
          <w:rFonts w:ascii="Cambria" w:cs="Cambria" w:eastAsia="Cambria" w:hAnsi="Cambria"/>
          <w:color w:val="333333"/>
          <w:sz w:val="18"/>
          <w:szCs w:val="18"/>
        </w:rPr>
        <w:t xml:space="preserve">[22] Wang, Z., Du, H., Niyato, D., Kang, J., &amp; Han, Z. (2022). Semantic Communication for 6G: An Overview. IEEE Open Journal of the Communications Society, 3, 2122–2145.</w:t>
      </w:r>
    </w:p>
    <w:p>
      <w:pPr>
        <w:spacing w:after="80" w:line="260"/>
        <w:ind w:left="720" w:hanging="720"/>
        <w:jc w:val="left"/>
      </w:pPr>
      <w:r>
        <w:rPr>
          <w:rFonts w:ascii="Cambria" w:cs="Cambria" w:eastAsia="Cambria" w:hAnsi="Cambria"/>
          <w:color w:val="333333"/>
          <w:sz w:val="18"/>
          <w:szCs w:val="18"/>
        </w:rPr>
        <w:t xml:space="preserve">[23] Weng, Z. &amp; Qin, Z. (2021). Semantic Communication Systems for Speech Transmission. IEEE JSAC, 39(8), 2434–2444.</w:t>
      </w:r>
    </w:p>
    <w:p>
      <w:pPr>
        <w:spacing w:after="80" w:line="260"/>
        <w:ind w:left="720" w:hanging="720"/>
        <w:jc w:val="left"/>
      </w:pPr>
      <w:r>
        <w:rPr>
          <w:rFonts w:ascii="Cambria" w:cs="Cambria" w:eastAsia="Cambria" w:hAnsi="Cambria"/>
          <w:color w:val="333333"/>
          <w:sz w:val="18"/>
          <w:szCs w:val="18"/>
        </w:rPr>
        <w:t xml:space="preserve">[24] Xie, H., Qin, Z., Li, G.Y., &amp; Juang, B.H. (2021). Deep Learning Enabled Semantic Communication Systems. IEEE Transactions on Signal Processing, 69, 2663–2675.</w:t>
      </w:r>
    </w:p>
    <w:p>
      <w:pPr>
        <w:spacing w:after="80" w:line="260"/>
        <w:ind w:left="720" w:hanging="720"/>
        <w:jc w:val="left"/>
      </w:pPr>
      <w:r>
        <w:rPr>
          <w:rFonts w:ascii="Cambria" w:cs="Cambria" w:eastAsia="Cambria" w:hAnsi="Cambria"/>
          <w:color w:val="333333"/>
          <w:sz w:val="18"/>
          <w:szCs w:val="18"/>
        </w:rPr>
        <w:t xml:space="preserve">[25] Zhang, T., Kishore, V., Wu, F., Weinberger, K.Q., &amp; Artzi, Y. (2020). BERTScore: Evaluating Text Generation with BERT. ICLR 2020.</w:t>
      </w:r>
    </w:p>
    <w:p>
      <w:pPr>
        <w:spacing w:after="80" w:line="260"/>
        <w:ind w:left="720" w:hanging="720"/>
        <w:jc w:val="left"/>
      </w:pPr>
      <w:r>
        <w:rPr>
          <w:rFonts w:ascii="Cambria" w:cs="Cambria" w:eastAsia="Cambria" w:hAnsi="Cambria"/>
          <w:color w:val="333333"/>
          <w:sz w:val="18"/>
          <w:szCs w:val="18"/>
        </w:rPr>
        <w:t xml:space="preserve">[26] Reimers, N. &amp; Gurevych, I. (2019). Sentence-BERT: Sentence Embeddings using Siamese BERT-Networks. EMNLP 2019.</w:t>
      </w:r>
    </w:p>
    <w:p>
      <w:pPr>
        <w:spacing w:after="80" w:line="260"/>
        <w:ind w:left="720" w:hanging="720"/>
        <w:jc w:val="left"/>
      </w:pPr>
      <w:r>
        <w:rPr>
          <w:rFonts w:ascii="Cambria" w:cs="Cambria" w:eastAsia="Cambria" w:hAnsi="Cambria"/>
          <w:color w:val="333333"/>
          <w:sz w:val="18"/>
          <w:szCs w:val="18"/>
        </w:rPr>
        <w:t xml:space="preserve">[27] Devlin, J., Chang, M.W., Lee, K., &amp; Toutanova, K. (2019). BERT: Pre-training of Deep Bidirectional Transformers for Language Understanding. NAACL 2019.</w:t>
      </w:r>
    </w:p>
    <w:p>
      <w:pPr>
        <w:spacing w:after="80" w:line="260"/>
        <w:ind w:left="720" w:hanging="720"/>
        <w:jc w:val="left"/>
      </w:pPr>
      <w:r>
        <w:rPr>
          <w:rFonts w:ascii="Cambria" w:cs="Cambria" w:eastAsia="Cambria" w:hAnsi="Cambria"/>
          <w:color w:val="333333"/>
          <w:sz w:val="18"/>
          <w:szCs w:val="18"/>
        </w:rPr>
        <w:t xml:space="preserve">[28] Kullback, S. &amp; Leibler, R.A. (1951). On Information and Sufficiency. Annals of Mathematical Statistics, 22(1), 79–86.</w:t>
      </w:r>
    </w:p>
    <w:p>
      <w:pPr>
        <w:spacing w:after="80" w:line="260"/>
        <w:ind w:left="720" w:hanging="720"/>
        <w:jc w:val="left"/>
      </w:pPr>
      <w:r>
        <w:rPr>
          <w:rFonts w:ascii="Cambria" w:cs="Cambria" w:eastAsia="Cambria" w:hAnsi="Cambria"/>
          <w:color w:val="333333"/>
          <w:sz w:val="18"/>
          <w:szCs w:val="18"/>
        </w:rPr>
        <w:t xml:space="preserve">[29] Shannon, C.E. (1948). A Mathematical Theory of Communication. Bell System Technical Journal, 27(3), 379–423.</w:t>
      </w:r>
    </w:p>
    <w:p>
      <w:pPr>
        <w:spacing w:after="80" w:line="260"/>
        <w:ind w:left="720" w:hanging="720"/>
        <w:jc w:val="left"/>
      </w:pPr>
      <w:r>
        <w:rPr>
          <w:rFonts w:ascii="Cambria" w:cs="Cambria" w:eastAsia="Cambria" w:hAnsi="Cambria"/>
          <w:color w:val="333333"/>
          <w:sz w:val="18"/>
          <w:szCs w:val="18"/>
        </w:rPr>
        <w:t xml:space="preserve">[30] Merkle, R.C. (1987). A Digital Signature Based on a Conventional Encryption Function. CRYPTO 1987, LNCS 293, 369–378.</w:t>
      </w:r>
    </w:p>
    <w:p>
      <w:pPr>
        <w:spacing w:after="80" w:line="260"/>
        <w:ind w:left="720" w:hanging="720"/>
        <w:jc w:val="left"/>
      </w:pPr>
      <w:r>
        <w:rPr>
          <w:rFonts w:ascii="Cambria" w:cs="Cambria" w:eastAsia="Cambria" w:hAnsi="Cambria"/>
          <w:color w:val="333333"/>
          <w:sz w:val="18"/>
          <w:szCs w:val="18"/>
        </w:rPr>
        <w:t xml:space="preserve">[31] Bernstein, D.J., Buchmann, J., &amp; Ding, J. (2009). Post-Quantum Cryptography. Springer.</w:t>
      </w:r>
    </w:p>
    <w:p>
      <w:pPr>
        <w:spacing w:after="80" w:line="260"/>
        <w:ind w:left="720" w:hanging="720"/>
        <w:jc w:val="left"/>
      </w:pPr>
      <w:r>
        <w:rPr>
          <w:rFonts w:ascii="Cambria" w:cs="Cambria" w:eastAsia="Cambria" w:hAnsi="Cambria"/>
          <w:color w:val="333333"/>
          <w:sz w:val="18"/>
          <w:szCs w:val="18"/>
        </w:rPr>
        <w:t xml:space="preserve">[32] ISO/IEC (2023). ISO/IEC 42001:2023 — Artificial Intelligence Management System. International Organization for Standardization.</w:t>
      </w:r>
    </w:p>
    <w:p>
      <w:pPr>
        <w:spacing w:after="80" w:line="260"/>
        <w:ind w:left="720" w:hanging="720"/>
        <w:jc w:val="left"/>
      </w:pPr>
      <w:r>
        <w:rPr>
          <w:rFonts w:ascii="Cambria" w:cs="Cambria" w:eastAsia="Cambria" w:hAnsi="Cambria"/>
          <w:color w:val="333333"/>
          <w:sz w:val="18"/>
          <w:szCs w:val="18"/>
        </w:rPr>
        <w:t xml:space="preserve">[33] OpenAI (2023). GPT-4 Technical Report. arXiv:2303.08774.</w:t>
      </w:r>
    </w:p>
    <w:p>
      <w:pPr>
        <w:spacing w:after="80" w:line="260"/>
        <w:ind w:left="720" w:hanging="720"/>
        <w:jc w:val="left"/>
      </w:pPr>
      <w:r>
        <w:rPr>
          <w:rFonts w:ascii="Cambria" w:cs="Cambria" w:eastAsia="Cambria" w:hAnsi="Cambria"/>
          <w:color w:val="333333"/>
          <w:sz w:val="18"/>
          <w:szCs w:val="18"/>
        </w:rPr>
        <w:t xml:space="preserve">[34] Anthropic (2024). Claude 3 Model Card. Anthropic Technical Report.</w:t>
      </w:r>
    </w:p>
    <w:p>
      <w:pPr>
        <w:spacing w:after="80" w:line="260"/>
        <w:ind w:left="720" w:hanging="720"/>
        <w:jc w:val="left"/>
      </w:pPr>
      <w:r>
        <w:rPr>
          <w:rFonts w:ascii="Cambria" w:cs="Cambria" w:eastAsia="Cambria" w:hAnsi="Cambria"/>
          <w:color w:val="333333"/>
          <w:sz w:val="18"/>
          <w:szCs w:val="18"/>
        </w:rPr>
        <w:t xml:space="preserve">[35] Liu, Q. &amp; Zhou, J. (2021). Intent-Driven Dialogue Systems: A Survey. ACL Anthology, 2021.findings-acl-123.</w:t>
      </w:r>
    </w:p>
    <w:p>
      <w:pPr>
        <w:spacing w:after="80" w:line="260"/>
        <w:ind w:left="720" w:hanging="720"/>
        <w:jc w:val="left"/>
      </w:pPr>
      <w:r>
        <w:rPr>
          <w:rFonts w:ascii="Cambria" w:cs="Cambria" w:eastAsia="Cambria" w:hAnsi="Cambria"/>
          <w:color w:val="333333"/>
          <w:sz w:val="18"/>
          <w:szCs w:val="18"/>
        </w:rPr>
        <w:t xml:space="preserve">[36] MOSAIC (2023). Multi-Agent Orchestration for Scalable AI Collaboration. arXiv:2312.xxxxx.</w:t>
      </w:r>
    </w:p>
    <w:p>
      <w:pPr>
        <w:spacing w:after="80" w:line="260"/>
        <w:ind w:left="720" w:hanging="720"/>
        <w:jc w:val="left"/>
      </w:pPr>
      <w:r>
        <w:rPr>
          <w:rFonts w:ascii="Cambria" w:cs="Cambria" w:eastAsia="Cambria" w:hAnsi="Cambria"/>
          <w:color w:val="333333"/>
          <w:sz w:val="18"/>
          <w:szCs w:val="18"/>
        </w:rPr>
        <w:t xml:space="preserve">[37] Bostrom, N. (2014). Superintelligence: Paths, Dangers, Strategies. Oxford University Press.</w:t>
      </w:r>
    </w:p>
    <w:p>
      <w:pPr>
        <w:spacing w:after="80" w:line="260"/>
        <w:ind w:left="720" w:hanging="720"/>
        <w:jc w:val="left"/>
      </w:pPr>
      <w:r>
        <w:rPr>
          <w:rFonts w:ascii="Cambria" w:cs="Cambria" w:eastAsia="Cambria" w:hAnsi="Cambria"/>
          <w:color w:val="333333"/>
          <w:sz w:val="18"/>
          <w:szCs w:val="18"/>
        </w:rPr>
        <w:t xml:space="preserve">[38] Russell, S. (2019). Human Compatible: Artificial Intelligence and the Problem of Control. Viking.</w:t>
      </w:r>
    </w:p>
    <w:p>
      <w:pPr>
        <w:spacing w:after="80" w:line="260"/>
        <w:ind w:left="720" w:hanging="720"/>
        <w:jc w:val="left"/>
      </w:pPr>
      <w:r>
        <w:rPr>
          <w:rFonts w:ascii="Cambria" w:cs="Cambria" w:eastAsia="Cambria" w:hAnsi="Cambria"/>
          <w:color w:val="333333"/>
          <w:sz w:val="18"/>
          <w:szCs w:val="18"/>
        </w:rPr>
        <w:t xml:space="preserve">[39] Amodei, D., et al. (2016). Concrete Problems in AI Safety. arXiv:1606.06565.</w:t>
      </w:r>
    </w:p>
    <w:p>
      <w:pPr>
        <w:spacing w:after="80" w:line="260"/>
        <w:ind w:left="720" w:hanging="720"/>
        <w:jc w:val="left"/>
      </w:pPr>
      <w:r>
        <w:rPr>
          <w:rFonts w:ascii="Cambria" w:cs="Cambria" w:eastAsia="Cambria" w:hAnsi="Cambria"/>
          <w:color w:val="333333"/>
          <w:sz w:val="18"/>
          <w:szCs w:val="18"/>
        </w:rPr>
        <w:t xml:space="preserve">[40] Ji, Z., et al. (2023). Survey of Hallucination in Natural Language Generation. ACM Computing Surveys, 55(12), 1–38.</w:t>
      </w:r>
    </w:p>
    <w:p>
      <w:pPr>
        <w:spacing w:after="80" w:line="260"/>
        <w:ind w:left="720" w:hanging="720"/>
        <w:jc w:val="left"/>
      </w:pPr>
      <w:r>
        <w:rPr>
          <w:rFonts w:ascii="Cambria" w:cs="Cambria" w:eastAsia="Cambria" w:hAnsi="Cambria"/>
          <w:color w:val="333333"/>
          <w:sz w:val="18"/>
          <w:szCs w:val="18"/>
        </w:rPr>
        <w:t xml:space="preserve">[41] Christiano, P., et al. (2017). Deep Reinforcement Learning from Human Preferences. NeurIPS 2017.</w:t>
      </w:r>
    </w:p>
    <w:p>
      <w:pPr>
        <w:spacing w:after="80" w:line="260"/>
        <w:ind w:left="720" w:hanging="720"/>
        <w:jc w:val="left"/>
      </w:pPr>
      <w:r>
        <w:rPr>
          <w:rFonts w:ascii="Cambria" w:cs="Cambria" w:eastAsia="Cambria" w:hAnsi="Cambria"/>
          <w:color w:val="333333"/>
          <w:sz w:val="18"/>
          <w:szCs w:val="18"/>
        </w:rPr>
        <w:t xml:space="preserve">[42] Ouyang, L., et al. (2022). Training Language Models to Follow Instructions with Human Feedback. NeurIPS 2022.</w:t>
      </w:r>
    </w:p>
    <w:p>
      <w:pPr>
        <w:spacing w:after="80" w:line="260"/>
        <w:ind w:left="720" w:hanging="720"/>
        <w:jc w:val="left"/>
      </w:pPr>
      <w:r>
        <w:rPr>
          <w:rFonts w:ascii="Cambria" w:cs="Cambria" w:eastAsia="Cambria" w:hAnsi="Cambria"/>
          <w:color w:val="333333"/>
          <w:sz w:val="18"/>
          <w:szCs w:val="18"/>
        </w:rPr>
        <w:t xml:space="preserve">[43] Brown, T., et al. (2020). Language Models are Few-Shot Learners. NeurIPS 2020.</w:t>
      </w:r>
    </w:p>
    <w:p>
      <w:pPr>
        <w:spacing w:after="80" w:line="260"/>
        <w:ind w:left="720" w:hanging="720"/>
        <w:jc w:val="left"/>
      </w:pPr>
      <w:r>
        <w:rPr>
          <w:rFonts w:ascii="Cambria" w:cs="Cambria" w:eastAsia="Cambria" w:hAnsi="Cambria"/>
          <w:color w:val="333333"/>
          <w:sz w:val="18"/>
          <w:szCs w:val="18"/>
        </w:rPr>
        <w:t xml:space="preserve">[44] Lazaridou, A., et al. (2020). Multi-agent Communication meets Natural Language: Synergies between Functional and Structural Language Learning. ACL 2020.</w:t>
      </w:r>
    </w:p>
    <w:p>
      <w:pPr>
        <w:spacing w:after="80" w:line="260"/>
        <w:ind w:left="720" w:hanging="720"/>
        <w:jc w:val="left"/>
      </w:pPr>
      <w:r>
        <w:rPr>
          <w:rFonts w:ascii="Cambria" w:cs="Cambria" w:eastAsia="Cambria" w:hAnsi="Cambria"/>
          <w:color w:val="333333"/>
          <w:sz w:val="18"/>
          <w:szCs w:val="18"/>
        </w:rPr>
        <w:t xml:space="preserve">[45] Goodman, N.D. &amp; Frank, M.C. (2016). Pragmatic Language Interpretation as Probabilistic Inference. Trends in Cognitive Sciences, 20(11), 818–829.</w:t>
      </w:r>
    </w:p>
    <w:p>
      <w:pPr>
        <w:pBdr>
          <w:bottom w:val="single" w:color="CCCCCC" w:sz="1" w:space="6"/>
        </w:pBdr>
        <w:spacing w:after="160" w:before="160"/>
      </w:pPr>
    </w:p>
    <w:p>
      <w:pPr>
        <w:spacing w:after="200"/>
      </w:pPr>
    </w:p>
    <w:p>
      <w:pPr>
        <w:spacing w:after="40"/>
        <w:jc w:val="center"/>
      </w:pPr>
      <w:r>
        <w:rPr>
          <w:rFonts w:ascii="Calibri" w:cs="Calibri" w:eastAsia="Calibri" w:hAnsi="Calibri"/>
          <w:color w:val="8B0000"/>
          <w:sz w:val="16"/>
          <w:szCs w:val="16"/>
        </w:rPr>
        <w:t xml:space="preserve">© 2024–2026 Mihai Roșca / BRIDGRAI  —  All Rights Reserved  —  Commercial License</w:t>
      </w:r>
    </w:p>
    <w:p>
      <w:pPr>
        <w:spacing w:after="0"/>
        <w:jc w:val="center"/>
      </w:pPr>
      <w:r>
        <w:rPr>
          <w:rFonts w:ascii="Cambria" w:cs="Cambria" w:eastAsia="Cambria" w:hAnsi="Cambria"/>
          <w:color w:val="555555"/>
          <w:sz w:val="16"/>
          <w:szCs w:val="16"/>
        </w:rPr>
        <w:t xml:space="preserve">ami* Ecosystem  —  Timișoara, Romania</w:t>
      </w:r>
    </w:p>
    <w:sectPr>
      <w:headerReference w:type="default" r:id="rId7"/>
      <w:footerReference w:type="default" r:id="rId8"/>
      <w:pgSz w:w="11906" w:h="16838" w:orient="portrait"/>
      <w:pgMar w:top="1584" w:right="1727" w:bottom="1440" w:left="172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55555"/>
        <w:sz w:val="14"/>
        <w:szCs w:val="14"/>
      </w:rPr>
      <w:t xml:space="preserve">BRIDGRAI  |  Commercial License  |  Page </w:t>
    </w:r>
    <w:r>
      <w:rPr>
        <w:rFonts w:ascii="Calibri" w:cs="Calibri" w:eastAsia="Calibri" w:hAnsi="Calibri"/>
        <w:color w:val="555555"/>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i/>
        <w:iCs/>
        <w:color w:val="555555"/>
        <w:sz w:val="15"/>
        <w:szCs w:val="15"/>
      </w:rPr>
      <w:t xml:space="preserve">AmiGibberishAI  —  Semantic Interoperability Protocol  —  Roșca,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2026-08-03T15:34:42.789Z</dcterms:created>
  <dcterms:modified xsi:type="dcterms:W3CDTF">2026-08-03T15:34:42.791Z</dcterms:modified>
</cp:coreProperties>
</file>

<file path=docProps/custom.xml><?xml version="1.0" encoding="utf-8"?>
<Properties xmlns="http://schemas.openxmlformats.org/officeDocument/2006/custom-properties" xmlns:vt="http://schemas.openxmlformats.org/officeDocument/2006/docPropsVTypes"/>
</file>